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56990">
      <w:pPr>
        <w:jc w:val="center"/>
        <w:rPr>
          <w:rFonts w:ascii="宋体"/>
          <w:b/>
          <w:bCs/>
          <w:sz w:val="36"/>
          <w:szCs w:val="32"/>
        </w:rPr>
      </w:pPr>
      <w:bookmarkStart w:id="0" w:name="_GoBack"/>
      <w:r>
        <w:rPr>
          <w:rFonts w:hint="eastAsia" w:ascii="宋体"/>
          <w:b/>
          <w:bCs/>
          <w:sz w:val="36"/>
          <w:szCs w:val="32"/>
        </w:rPr>
        <w:t>信息与通信工程学院</w:t>
      </w:r>
    </w:p>
    <w:p w14:paraId="341AFE1D">
      <w:pPr>
        <w:jc w:val="center"/>
        <w:rPr>
          <w:rFonts w:ascii="宋体"/>
          <w:b/>
          <w:bCs/>
          <w:sz w:val="36"/>
          <w:szCs w:val="32"/>
        </w:rPr>
      </w:pPr>
      <w:r>
        <w:rPr>
          <w:rFonts w:hint="eastAsia" w:ascii="宋体"/>
          <w:b/>
          <w:bCs/>
          <w:sz w:val="36"/>
          <w:szCs w:val="32"/>
        </w:rPr>
        <w:t>关于</w:t>
      </w:r>
      <w:r>
        <w:rPr>
          <w:rFonts w:ascii="宋体"/>
          <w:b/>
          <w:bCs/>
          <w:sz w:val="36"/>
          <w:szCs w:val="32"/>
        </w:rPr>
        <w:t>推荐优秀应届本科毕业</w:t>
      </w:r>
      <w:r>
        <w:rPr>
          <w:rFonts w:hint="eastAsia" w:ascii="宋体"/>
          <w:b/>
          <w:bCs/>
          <w:sz w:val="36"/>
          <w:szCs w:val="32"/>
        </w:rPr>
        <w:t>学生干部</w:t>
      </w:r>
    </w:p>
    <w:p w14:paraId="539B1763">
      <w:pPr>
        <w:jc w:val="center"/>
        <w:rPr>
          <w:rFonts w:ascii="宋体"/>
          <w:b/>
          <w:bCs/>
          <w:sz w:val="36"/>
          <w:szCs w:val="32"/>
        </w:rPr>
      </w:pPr>
      <w:r>
        <w:rPr>
          <w:rFonts w:hint="eastAsia" w:ascii="宋体"/>
          <w:b/>
          <w:bCs/>
          <w:sz w:val="36"/>
          <w:szCs w:val="32"/>
        </w:rPr>
        <w:t>免试攻读研究生</w:t>
      </w:r>
      <w:r>
        <w:rPr>
          <w:rFonts w:ascii="宋体"/>
          <w:b/>
          <w:bCs/>
          <w:sz w:val="36"/>
          <w:szCs w:val="32"/>
        </w:rPr>
        <w:t>遴</w:t>
      </w:r>
      <w:r>
        <w:rPr>
          <w:rFonts w:hint="eastAsia" w:ascii="宋体"/>
          <w:b/>
          <w:bCs/>
          <w:sz w:val="36"/>
          <w:szCs w:val="32"/>
        </w:rPr>
        <w:t>选工作实施细则</w:t>
      </w:r>
    </w:p>
    <w:p w14:paraId="46EB7A8A">
      <w:pPr>
        <w:spacing w:line="600" w:lineRule="exact"/>
        <w:jc w:val="center"/>
        <w:rPr>
          <w:rFonts w:ascii="宋体"/>
          <w:b/>
          <w:bCs/>
          <w:sz w:val="28"/>
        </w:rPr>
      </w:pPr>
      <w:r>
        <w:rPr>
          <w:rFonts w:hint="eastAsia" w:ascii="宋体"/>
          <w:b/>
          <w:bCs/>
          <w:sz w:val="28"/>
        </w:rPr>
        <w:t>（2025年修订版）</w:t>
      </w:r>
    </w:p>
    <w:bookmarkEnd w:id="0"/>
    <w:p w14:paraId="15539422">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根据《北京信息科技大学推荐优秀应届本科毕业学生干部免试攻读研究生遴选办法》（校学发[2025]84号）文件精神,结合我院实际情况，特制定本细则。</w:t>
      </w:r>
    </w:p>
    <w:p w14:paraId="51E2F37C">
      <w:pPr>
        <w:widowControl/>
        <w:shd w:val="clear" w:color="auto" w:fill="FFFFFF"/>
        <w:spacing w:line="555" w:lineRule="atLeast"/>
        <w:jc w:val="center"/>
        <w:rPr>
          <w:rFonts w:ascii="黑体" w:hAnsi="黑体" w:eastAsia="黑体" w:cs="宋体"/>
          <w:color w:val="333333"/>
          <w:kern w:val="0"/>
          <w:sz w:val="32"/>
          <w:szCs w:val="32"/>
        </w:rPr>
      </w:pPr>
      <w:r>
        <w:rPr>
          <w:rFonts w:hint="eastAsia" w:ascii="黑体" w:hAnsi="黑体" w:eastAsia="黑体" w:cs="宋体"/>
          <w:color w:val="333333"/>
          <w:kern w:val="0"/>
          <w:sz w:val="32"/>
          <w:szCs w:val="32"/>
        </w:rPr>
        <w:t>第一章</w:t>
      </w:r>
      <w:r>
        <w:rPr>
          <w:rFonts w:hint="eastAsia" w:ascii="宋体" w:hAnsi="宋体" w:eastAsia="黑体" w:cs="宋体"/>
          <w:color w:val="333333"/>
          <w:kern w:val="0"/>
          <w:sz w:val="32"/>
          <w:szCs w:val="32"/>
        </w:rPr>
        <w:t xml:space="preserve">  </w:t>
      </w:r>
      <w:r>
        <w:rPr>
          <w:rFonts w:hint="eastAsia" w:ascii="黑体" w:hAnsi="黑体" w:eastAsia="黑体" w:cs="宋体"/>
          <w:color w:val="333333"/>
          <w:kern w:val="0"/>
          <w:sz w:val="32"/>
          <w:szCs w:val="32"/>
        </w:rPr>
        <w:t>总则</w:t>
      </w:r>
    </w:p>
    <w:p w14:paraId="65C39086">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第一条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推荐优秀应届本科毕业学生干部免试攻读研究生（保留研究生入学资格两年，在此期间专职从事辅导员工作）是提高人才培养质量的重要举措，也是促进和激励在校本科生勤奋学习、勇于创新、全面发展的有效机制。</w:t>
      </w:r>
    </w:p>
    <w:p w14:paraId="7DD0A647">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第二条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推免工作坚持公开、公平、公正的原则，实行全面衡量、综合评价、择优推荐。</w:t>
      </w:r>
    </w:p>
    <w:p w14:paraId="65134BA9">
      <w:pPr>
        <w:widowControl/>
        <w:shd w:val="clear" w:color="auto" w:fill="FFFFFF"/>
        <w:spacing w:line="555" w:lineRule="atLeast"/>
        <w:jc w:val="center"/>
        <w:rPr>
          <w:rFonts w:ascii="黑体" w:hAnsi="黑体" w:eastAsia="黑体" w:cs="宋体"/>
          <w:color w:val="333333"/>
          <w:kern w:val="0"/>
          <w:sz w:val="32"/>
          <w:szCs w:val="32"/>
        </w:rPr>
      </w:pPr>
      <w:r>
        <w:rPr>
          <w:rFonts w:hint="eastAsia" w:ascii="黑体" w:hAnsi="黑体" w:eastAsia="黑体" w:cs="宋体"/>
          <w:color w:val="333333"/>
          <w:kern w:val="0"/>
          <w:sz w:val="32"/>
          <w:szCs w:val="32"/>
        </w:rPr>
        <w:t>第二章  组织领导</w:t>
      </w:r>
    </w:p>
    <w:p w14:paraId="21A0207D">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第三条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学院成立推荐优秀应届本科毕业学生干部免试攻读研究生遴选工作领导小组（以下简称遴选工作小组），由分管学生工作的副书记任组长，由分管本科教学工作的副院长、有关专业负责人、具有高级职称的教师代表、学生工作辅导员代表等不少于5人组成的遴选工作领导小组，制定本学院遴选工作实施细则，负责本学院遴选条件审查、遴选推荐等工作。遴选工作小组组成情况及遴选工作实施细则，须经学院党政联席会议讨论通过后报学工部备案。</w:t>
      </w:r>
    </w:p>
    <w:p w14:paraId="39ED5969">
      <w:pPr>
        <w:widowControl/>
        <w:spacing w:line="560" w:lineRule="exact"/>
        <w:ind w:firstLine="640" w:firstLineChars="200"/>
        <w:rPr>
          <w:rFonts w:ascii="仿宋" w:hAnsi="仿宋" w:eastAsia="仿宋" w:cs="宋体"/>
          <w:color w:val="333333"/>
          <w:kern w:val="0"/>
          <w:sz w:val="30"/>
          <w:szCs w:val="30"/>
        </w:rPr>
      </w:pPr>
      <w:r>
        <w:rPr>
          <w:rFonts w:hint="eastAsia" w:ascii="仿宋" w:hAnsi="仿宋" w:eastAsia="仿宋" w:cs="宋体"/>
          <w:color w:val="333333"/>
          <w:kern w:val="0"/>
          <w:sz w:val="32"/>
          <w:szCs w:val="32"/>
        </w:rPr>
        <w:t>第四条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学院设立推免工作申诉办公室，办公室设在学院学生工作办公室，受理相关申诉事宜。</w:t>
      </w:r>
    </w:p>
    <w:p w14:paraId="0277709F">
      <w:pPr>
        <w:widowControl/>
        <w:shd w:val="clear" w:color="auto" w:fill="FFFFFF"/>
        <w:spacing w:line="555" w:lineRule="atLeast"/>
        <w:jc w:val="center"/>
        <w:rPr>
          <w:rFonts w:ascii="黑体" w:hAnsi="黑体" w:eastAsia="黑体" w:cs="宋体"/>
          <w:color w:val="333333"/>
          <w:kern w:val="0"/>
          <w:sz w:val="32"/>
          <w:szCs w:val="32"/>
        </w:rPr>
      </w:pPr>
      <w:r>
        <w:rPr>
          <w:rFonts w:hint="eastAsia" w:ascii="黑体" w:hAnsi="黑体" w:eastAsia="黑体" w:cs="宋体"/>
          <w:color w:val="333333"/>
          <w:kern w:val="0"/>
          <w:sz w:val="32"/>
          <w:szCs w:val="32"/>
        </w:rPr>
        <w:t>第三章  遴选条件</w:t>
      </w:r>
    </w:p>
    <w:p w14:paraId="7D3350DD">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第五条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推荐优秀应届本科毕业学生干部免试攻读研究生遴选对象仅限于本院全日制普通本科应届毕业生（不含专升本、第二学士学位学生），定向委托培养的学生必须经过原定向地区教育主管部门或委托培养单位的批准。</w:t>
      </w:r>
    </w:p>
    <w:p w14:paraId="7E08EEDB">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第六条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推免学生应具备以下基本条件：</w:t>
      </w:r>
    </w:p>
    <w:p w14:paraId="70DA1561">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 xml:space="preserve">（一）中共正式党员或预备党员, 具有坚定正确的政治方向，高尚的爱国主义情操和集体主义精神，社会责任感强，遵纪守法，积极向上，身心健康。 </w:t>
      </w:r>
    </w:p>
    <w:p w14:paraId="159EE56B">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 xml:space="preserve">（二）具有主要学生干部一年以上工作经历,且任职期间工作表现突出。获得过校级及以上荣誉称号的优先考虑。 </w:t>
      </w:r>
    </w:p>
    <w:p w14:paraId="45EBC5CA">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（三）勤奋学习，刻苦钻研，成绩优秀，已经取得的学分满足所学专业培养方案正常学制规定的要求，必修课成绩合格且不得有因不及格出现的补考或重修记录。</w:t>
      </w:r>
    </w:p>
    <w:p w14:paraId="69EAD284">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（四）勤信实验班学生，计入学分绩点的必修课程加权平均成绩（以下简称为“必修课加权平均成绩”）在本班型</w:t>
      </w:r>
      <w:r>
        <w:rPr>
          <w:rFonts w:hint="default" w:ascii="仿宋" w:hAnsi="仿宋" w:eastAsia="仿宋" w:cs="宋体"/>
          <w:color w:val="333333"/>
          <w:kern w:val="0"/>
          <w:sz w:val="32"/>
          <w:szCs w:val="32"/>
          <w:lang w:val="en-US"/>
        </w:rPr>
        <w:t>同专业</w:t>
      </w:r>
      <w:r>
        <w:rPr>
          <w:rFonts w:hint="eastAsia" w:ascii="仿宋" w:hAnsi="仿宋" w:eastAsia="仿宋" w:cs="宋体"/>
          <w:color w:val="333333"/>
          <w:kern w:val="0"/>
          <w:sz w:val="32"/>
          <w:szCs w:val="32"/>
        </w:rPr>
        <w:t>同年级排名前50%；其他学生，必修课加权平均成绩在本专业同年级排名前30%。（注：双培计划学生按专业单独排名，必修课程加权平均成绩排名前</w:t>
      </w:r>
      <w:r>
        <w:rPr>
          <w:rFonts w:ascii="仿宋" w:hAnsi="仿宋" w:eastAsia="仿宋" w:cs="宋体"/>
          <w:color w:val="333333"/>
          <w:kern w:val="0"/>
          <w:sz w:val="32"/>
          <w:szCs w:val="32"/>
        </w:rPr>
        <w:t>30</w:t>
      </w:r>
      <w:r>
        <w:rPr>
          <w:rFonts w:hint="eastAsia" w:ascii="仿宋" w:hAnsi="仿宋" w:eastAsia="仿宋" w:cs="宋体"/>
          <w:color w:val="333333"/>
          <w:kern w:val="0"/>
          <w:sz w:val="32"/>
          <w:szCs w:val="32"/>
        </w:rPr>
        <w:t>%）</w:t>
      </w:r>
    </w:p>
    <w:p w14:paraId="4BFFF49C">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 xml:space="preserve">（五）有较高的外语应用水平和能力。第一外语为英语的，要通过全国大学英语四级考试（新标准425分）；第一外语为其他语种的，需提供国家认可的相当于上述水平的考试合格证书；英语专业学生须通过专业四级考试。 </w:t>
      </w:r>
    </w:p>
    <w:p w14:paraId="369FD1A9">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（六）诚实守信，学风端正，在校学习期间无任何考试违规违纪行为，无剽窃他人学术成果等学术不端行为。</w:t>
      </w:r>
    </w:p>
    <w:p w14:paraId="66EAF9A3">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（七）品行表现优良，在校学习期间无任何违法违纪受处分记录。</w:t>
      </w:r>
    </w:p>
    <w:p w14:paraId="095E04AD">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（八）热爱大学生思想政治教育工作,愿意担任学生专职辅导员,具有较好的组织协调能力和语言文字表达能力,具有较强的奉献精神和创新精神。</w:t>
      </w:r>
    </w:p>
    <w:p w14:paraId="16DB30AD">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第七条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申请学生干部免试攻读研究生的学生，需参加学院综合成绩排名。综合成绩由必修课加权平均成绩、素质评价成绩两部分组成。</w:t>
      </w:r>
    </w:p>
    <w:p w14:paraId="5B611C3D">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（一）必修课加权平均成绩统计范围为前三学年学生所修必修课程，按百分制统计。</w:t>
      </w:r>
    </w:p>
    <w:p w14:paraId="4DE08EA7">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（二）素质评价包括学生科研成果、竞赛获奖、参军入伍服兵役、参加志愿服务、到国际组织实习、荣誉加分等引导学生全面发展的评价指标。素质评价的评分标准详见表1。</w:t>
      </w:r>
    </w:p>
    <w:p w14:paraId="0069CB08">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各类指标应满足如下条件：</w:t>
      </w:r>
    </w:p>
    <w:p w14:paraId="5533B18A">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1.科研成果：包括以独立作者或第一作者发表高水平专业学术论文，以第一完成人获批的国家发明专利。论文和专利必须以北京信息科技大学为第一署名单位。学生与直系亲属或学历、职称、职务明显高于本人者合作的科研成果、竞赛奖项等仅作为参考，不纳入学生本人推免遴选综合成绩计算体系，同等条件下可优先考虑。</w:t>
      </w:r>
    </w:p>
    <w:p w14:paraId="0419C63D">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2.竞赛获奖：作为主要成员参加（排名前三）参加学校认定的学科竞赛并获得国家级三等奖及以上奖励。</w:t>
      </w:r>
    </w:p>
    <w:p w14:paraId="196477DC">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3.参军入伍服兵役：在校期间参军入伍服兵役的学生，在服役期间获得三等功及以上军功。</w:t>
      </w:r>
    </w:p>
    <w:p w14:paraId="33AF0E05">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4.参加志愿服务：在“志愿北京”成为北京注册志愿者，被评定为北京星级志愿者（如未及时申请评定星级，可提供累计志愿服务时长及参与项目记录证明）。</w:t>
      </w:r>
    </w:p>
    <w:p w14:paraId="3A0DDF74">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5.到国际组织实习：如在“高校毕业生到国际组织实习任职信息服务平台”参加实习，由全国高等学校学生信息咨询与就业指导中心，提供实习表现鉴定证明；如其他实习项目，由相关省部级及以上单位提供实习表现鉴定证明；实习期要求不少于3个月。</w:t>
      </w:r>
    </w:p>
    <w:p w14:paraId="632A1E00">
      <w:pPr>
        <w:widowControl/>
        <w:shd w:val="clear" w:color="auto" w:fill="FFFFFF"/>
        <w:spacing w:line="555" w:lineRule="atLeast"/>
        <w:jc w:val="center"/>
        <w:rPr>
          <w:rFonts w:ascii="仿宋" w:hAnsi="仿宋" w:eastAsia="仿宋" w:cs="宋体"/>
          <w:b/>
          <w:bCs/>
          <w:color w:val="333333"/>
          <w:kern w:val="0"/>
          <w:sz w:val="24"/>
        </w:rPr>
      </w:pPr>
      <w:r>
        <w:rPr>
          <w:rFonts w:hint="eastAsia" w:ascii="仿宋" w:hAnsi="仿宋" w:eastAsia="仿宋" w:cs="宋体"/>
          <w:b/>
          <w:bCs/>
          <w:color w:val="333333"/>
          <w:kern w:val="0"/>
          <w:sz w:val="24"/>
        </w:rPr>
        <w:t>表</w:t>
      </w:r>
      <w:r>
        <w:rPr>
          <w:rFonts w:ascii="仿宋" w:hAnsi="仿宋" w:eastAsia="仿宋" w:cs="宋体"/>
          <w:b/>
          <w:bCs/>
          <w:color w:val="333333"/>
          <w:kern w:val="0"/>
          <w:sz w:val="24"/>
        </w:rPr>
        <w:t xml:space="preserve">1 </w:t>
      </w:r>
      <w:r>
        <w:rPr>
          <w:rFonts w:hint="eastAsia" w:ascii="仿宋" w:hAnsi="仿宋" w:eastAsia="仿宋" w:cs="宋体"/>
          <w:b/>
          <w:bCs/>
          <w:color w:val="333333"/>
          <w:kern w:val="0"/>
          <w:sz w:val="24"/>
        </w:rPr>
        <w:t>素质评价评分标准</w:t>
      </w:r>
    </w:p>
    <w:tbl>
      <w:tblPr>
        <w:tblStyle w:val="11"/>
        <w:tblW w:w="4972" w:type="pct"/>
        <w:tblInd w:w="0" w:type="dxa"/>
        <w:tblLayout w:type="fixed"/>
        <w:tblCellMar>
          <w:top w:w="0" w:type="dxa"/>
          <w:left w:w="108" w:type="dxa"/>
          <w:bottom w:w="0" w:type="dxa"/>
          <w:right w:w="108" w:type="dxa"/>
        </w:tblCellMar>
      </w:tblPr>
      <w:tblGrid>
        <w:gridCol w:w="1264"/>
        <w:gridCol w:w="1522"/>
        <w:gridCol w:w="1402"/>
        <w:gridCol w:w="1560"/>
        <w:gridCol w:w="875"/>
        <w:gridCol w:w="2612"/>
      </w:tblGrid>
      <w:tr w14:paraId="1576943C">
        <w:tblPrEx>
          <w:tblCellMar>
            <w:top w:w="0" w:type="dxa"/>
            <w:left w:w="108" w:type="dxa"/>
            <w:bottom w:w="0" w:type="dxa"/>
            <w:right w:w="108" w:type="dxa"/>
          </w:tblCellMar>
        </w:tblPrEx>
        <w:trPr>
          <w:trHeight w:val="270" w:hRule="atLeast"/>
        </w:trPr>
        <w:tc>
          <w:tcPr>
            <w:tcW w:w="503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11AD">
            <w:pPr>
              <w:widowControl/>
              <w:textAlignment w:val="center"/>
              <w:rPr>
                <w:rFonts w:ascii="宋体" w:hAnsi="宋体" w:cs="宋体"/>
                <w:color w:val="000000"/>
                <w:sz w:val="22"/>
                <w:szCs w:val="22"/>
              </w:rPr>
            </w:pPr>
            <w:r>
              <w:rPr>
                <w:rFonts w:hint="eastAsia" w:ascii="宋体" w:hAnsi="宋体" w:cs="宋体"/>
                <w:color w:val="000000"/>
                <w:kern w:val="0"/>
                <w:sz w:val="22"/>
                <w:szCs w:val="22"/>
              </w:rPr>
              <w:t>评价内容及标准</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3371">
            <w:pPr>
              <w:widowControl/>
              <w:textAlignment w:val="center"/>
              <w:rPr>
                <w:rFonts w:ascii="宋体" w:hAnsi="宋体" w:cs="宋体"/>
                <w:color w:val="000000"/>
                <w:sz w:val="22"/>
                <w:szCs w:val="22"/>
              </w:rPr>
            </w:pPr>
            <w:r>
              <w:rPr>
                <w:rFonts w:hint="eastAsia" w:ascii="宋体" w:hAnsi="宋体" w:cs="宋体"/>
                <w:color w:val="000000"/>
                <w:kern w:val="0"/>
                <w:sz w:val="22"/>
                <w:szCs w:val="22"/>
              </w:rPr>
              <w:t>分值</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ED7F">
            <w:pPr>
              <w:widowControl/>
              <w:textAlignment w:val="center"/>
              <w:rPr>
                <w:rFonts w:ascii="宋体" w:hAnsi="宋体" w:cs="宋体"/>
                <w:color w:val="000000"/>
                <w:sz w:val="22"/>
                <w:szCs w:val="22"/>
              </w:rPr>
            </w:pPr>
            <w:r>
              <w:rPr>
                <w:rFonts w:hint="eastAsia" w:ascii="宋体" w:hAnsi="宋体" w:cs="宋体"/>
                <w:color w:val="000000"/>
                <w:kern w:val="0"/>
                <w:sz w:val="22"/>
                <w:szCs w:val="22"/>
              </w:rPr>
              <w:t>备注</w:t>
            </w:r>
          </w:p>
        </w:tc>
      </w:tr>
      <w:tr w14:paraId="23451DA4">
        <w:tblPrEx>
          <w:tblCellMar>
            <w:top w:w="0" w:type="dxa"/>
            <w:left w:w="108" w:type="dxa"/>
            <w:bottom w:w="0" w:type="dxa"/>
            <w:right w:w="108" w:type="dxa"/>
          </w:tblCellMar>
        </w:tblPrEx>
        <w:trPr>
          <w:trHeight w:val="1080" w:hRule="atLeast"/>
        </w:trPr>
        <w:tc>
          <w:tcPr>
            <w:tcW w:w="11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EFF8">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科研</w:t>
            </w:r>
          </w:p>
          <w:p w14:paraId="36FD5F9F">
            <w:pPr>
              <w:widowControl/>
              <w:textAlignment w:val="center"/>
              <w:rPr>
                <w:rFonts w:ascii="宋体" w:hAnsi="宋体" w:cs="宋体"/>
                <w:color w:val="000000"/>
                <w:sz w:val="22"/>
                <w:szCs w:val="22"/>
              </w:rPr>
            </w:pPr>
            <w:r>
              <w:rPr>
                <w:rFonts w:hint="eastAsia" w:ascii="宋体" w:hAnsi="宋体" w:cs="宋体"/>
                <w:color w:val="000000"/>
                <w:kern w:val="0"/>
                <w:sz w:val="22"/>
                <w:szCs w:val="22"/>
              </w:rPr>
              <w:t>成果</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8F39">
            <w:pPr>
              <w:widowControl/>
              <w:textAlignment w:val="center"/>
              <w:rPr>
                <w:rFonts w:ascii="宋体" w:hAnsi="宋体" w:cs="宋体"/>
                <w:color w:val="000000"/>
                <w:sz w:val="22"/>
                <w:szCs w:val="22"/>
              </w:rPr>
            </w:pPr>
            <w:r>
              <w:rPr>
                <w:rFonts w:hint="eastAsia" w:ascii="宋体" w:hAnsi="宋体" w:cs="宋体"/>
                <w:color w:val="000000"/>
                <w:kern w:val="0"/>
                <w:sz w:val="22"/>
                <w:szCs w:val="22"/>
              </w:rPr>
              <w:t>专利</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303D">
            <w:pPr>
              <w:widowControl/>
              <w:textAlignment w:val="center"/>
              <w:rPr>
                <w:rFonts w:ascii="宋体" w:hAnsi="宋体" w:cs="宋体"/>
                <w:color w:val="000000"/>
                <w:sz w:val="22"/>
                <w:szCs w:val="22"/>
              </w:rPr>
            </w:pPr>
            <w:r>
              <w:rPr>
                <w:rFonts w:hint="eastAsia" w:ascii="宋体" w:hAnsi="宋体" w:cs="宋体"/>
                <w:color w:val="000000"/>
                <w:kern w:val="0"/>
                <w:sz w:val="22"/>
                <w:szCs w:val="22"/>
              </w:rPr>
              <w:t>国家发明专利</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6363">
            <w:pPr>
              <w:widowControl/>
              <w:textAlignment w:val="center"/>
              <w:rPr>
                <w:rFonts w:ascii="宋体" w:hAnsi="宋体" w:cs="宋体"/>
                <w:color w:val="000000"/>
                <w:sz w:val="22"/>
                <w:szCs w:val="22"/>
              </w:rPr>
            </w:pPr>
            <w:r>
              <w:rPr>
                <w:rFonts w:hint="eastAsia" w:ascii="宋体" w:hAnsi="宋体" w:cs="宋体"/>
                <w:color w:val="000000"/>
                <w:kern w:val="0"/>
                <w:sz w:val="22"/>
                <w:szCs w:val="22"/>
              </w:rPr>
              <w:t>6</w:t>
            </w:r>
          </w:p>
        </w:tc>
        <w:tc>
          <w:tcPr>
            <w:tcW w:w="2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29E8">
            <w:pPr>
              <w:widowControl/>
              <w:textAlignment w:val="center"/>
              <w:rPr>
                <w:rFonts w:ascii="宋体" w:hAnsi="宋体" w:cs="宋体"/>
                <w:color w:val="000000"/>
                <w:sz w:val="22"/>
                <w:szCs w:val="22"/>
              </w:rPr>
            </w:pPr>
            <w:r>
              <w:rPr>
                <w:rFonts w:hint="eastAsia" w:ascii="宋体" w:hAnsi="宋体" w:cs="宋体"/>
                <w:color w:val="000000"/>
                <w:kern w:val="0"/>
                <w:sz w:val="22"/>
                <w:szCs w:val="22"/>
              </w:rPr>
              <w:t>以第一完成人获批，北京信息科技大学为第一署名单位</w:t>
            </w:r>
          </w:p>
        </w:tc>
      </w:tr>
      <w:tr w14:paraId="6E5757AA">
        <w:tblPrEx>
          <w:tblCellMar>
            <w:top w:w="0" w:type="dxa"/>
            <w:left w:w="108" w:type="dxa"/>
            <w:bottom w:w="0" w:type="dxa"/>
            <w:right w:w="108" w:type="dxa"/>
          </w:tblCellMar>
        </w:tblPrEx>
        <w:trPr>
          <w:trHeight w:val="607"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9746C">
            <w:pPr>
              <w:rPr>
                <w:rFonts w:ascii="宋体" w:hAnsi="宋体" w:cs="宋体"/>
                <w:color w:val="000000"/>
                <w:sz w:val="22"/>
                <w:szCs w:val="22"/>
              </w:rPr>
            </w:pP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08D68">
            <w:pPr>
              <w:widowControl/>
              <w:textAlignment w:val="center"/>
              <w:rPr>
                <w:rFonts w:ascii="宋体" w:hAnsi="宋体" w:cs="宋体"/>
                <w:color w:val="000000"/>
                <w:sz w:val="22"/>
                <w:szCs w:val="22"/>
              </w:rPr>
            </w:pPr>
            <w:r>
              <w:rPr>
                <w:rFonts w:hint="eastAsia" w:ascii="宋体" w:hAnsi="宋体" w:cs="宋体"/>
                <w:color w:val="000000"/>
                <w:kern w:val="0"/>
                <w:sz w:val="22"/>
                <w:szCs w:val="22"/>
              </w:rPr>
              <w:t>论文</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56C5">
            <w:pPr>
              <w:widowControl/>
              <w:textAlignment w:val="center"/>
              <w:rPr>
                <w:rFonts w:ascii="宋体" w:hAnsi="宋体" w:cs="宋体"/>
                <w:color w:val="000000"/>
                <w:sz w:val="22"/>
                <w:szCs w:val="22"/>
              </w:rPr>
            </w:pPr>
            <w:r>
              <w:rPr>
                <w:rFonts w:hint="eastAsia" w:ascii="宋体" w:hAnsi="宋体" w:cs="宋体"/>
                <w:color w:val="000000"/>
                <w:kern w:val="0"/>
                <w:sz w:val="22"/>
                <w:szCs w:val="22"/>
              </w:rPr>
              <w:t>被SCI检索的期刊论文</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4C0F">
            <w:pPr>
              <w:widowControl/>
              <w:textAlignment w:val="center"/>
              <w:rPr>
                <w:rFonts w:ascii="宋体" w:hAnsi="宋体" w:cs="宋体"/>
                <w:color w:val="000000"/>
                <w:sz w:val="22"/>
                <w:szCs w:val="22"/>
              </w:rPr>
            </w:pPr>
            <w:r>
              <w:rPr>
                <w:rFonts w:hint="eastAsia" w:ascii="宋体" w:hAnsi="宋体" w:cs="宋体"/>
                <w:color w:val="000000"/>
                <w:kern w:val="0"/>
                <w:sz w:val="22"/>
                <w:szCs w:val="22"/>
              </w:rPr>
              <w:t>6</w:t>
            </w:r>
          </w:p>
        </w:tc>
        <w:tc>
          <w:tcPr>
            <w:tcW w:w="22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338B6">
            <w:pPr>
              <w:widowControl/>
              <w:textAlignment w:val="center"/>
              <w:rPr>
                <w:rFonts w:ascii="宋体" w:hAnsi="宋体" w:cs="宋体"/>
                <w:color w:val="000000"/>
                <w:sz w:val="22"/>
                <w:szCs w:val="22"/>
              </w:rPr>
            </w:pPr>
            <w:r>
              <w:rPr>
                <w:rFonts w:hint="eastAsia" w:ascii="宋体" w:hAnsi="宋体" w:cs="宋体"/>
                <w:color w:val="000000"/>
                <w:kern w:val="0"/>
                <w:sz w:val="22"/>
                <w:szCs w:val="22"/>
              </w:rPr>
              <w:t>以独立作者或第一作者发表，北京信息科技大学为第一署名单位。第一作者为署名位次排名第一的作者，不含共同第一作者。</w:t>
            </w:r>
          </w:p>
        </w:tc>
      </w:tr>
      <w:tr w14:paraId="52658477">
        <w:tblPrEx>
          <w:tblCellMar>
            <w:top w:w="0" w:type="dxa"/>
            <w:left w:w="108" w:type="dxa"/>
            <w:bottom w:w="0" w:type="dxa"/>
            <w:right w:w="108" w:type="dxa"/>
          </w:tblCellMar>
        </w:tblPrEx>
        <w:trPr>
          <w:trHeight w:val="645"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156D">
            <w:pPr>
              <w:rPr>
                <w:rFonts w:ascii="宋体" w:hAnsi="宋体" w:cs="宋体"/>
                <w:color w:val="000000"/>
                <w:sz w:val="22"/>
                <w:szCs w:val="22"/>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F2BE">
            <w:pPr>
              <w:rPr>
                <w:rFonts w:ascii="宋体" w:hAnsi="宋体" w:cs="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C23C">
            <w:pPr>
              <w:widowControl/>
              <w:textAlignment w:val="center"/>
              <w:rPr>
                <w:rFonts w:ascii="宋体" w:hAnsi="宋体" w:cs="宋体"/>
                <w:color w:val="000000"/>
                <w:sz w:val="22"/>
                <w:szCs w:val="22"/>
              </w:rPr>
            </w:pPr>
            <w:r>
              <w:rPr>
                <w:rFonts w:hint="eastAsia" w:ascii="宋体" w:hAnsi="宋体" w:cs="宋体"/>
                <w:color w:val="000000"/>
                <w:kern w:val="0"/>
                <w:sz w:val="22"/>
                <w:szCs w:val="22"/>
              </w:rPr>
              <w:t>被EI检索的期刊论文</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558E">
            <w:pPr>
              <w:widowControl/>
              <w:textAlignment w:val="center"/>
              <w:rPr>
                <w:rFonts w:ascii="宋体" w:hAnsi="宋体" w:cs="宋体"/>
                <w:color w:val="000000"/>
                <w:sz w:val="22"/>
                <w:szCs w:val="22"/>
              </w:rPr>
            </w:pPr>
            <w:r>
              <w:rPr>
                <w:rFonts w:hint="eastAsia" w:ascii="宋体" w:hAnsi="宋体" w:cs="宋体"/>
                <w:color w:val="000000"/>
                <w:kern w:val="0"/>
                <w:sz w:val="22"/>
                <w:szCs w:val="22"/>
              </w:rPr>
              <w:t>4</w:t>
            </w:r>
          </w:p>
        </w:tc>
        <w:tc>
          <w:tcPr>
            <w:tcW w:w="22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F29F6">
            <w:pPr>
              <w:rPr>
                <w:rFonts w:ascii="宋体" w:hAnsi="宋体" w:cs="宋体"/>
                <w:color w:val="000000"/>
                <w:sz w:val="22"/>
                <w:szCs w:val="22"/>
              </w:rPr>
            </w:pPr>
          </w:p>
        </w:tc>
      </w:tr>
      <w:tr w14:paraId="0BDA2A1F">
        <w:tblPrEx>
          <w:tblCellMar>
            <w:top w:w="0" w:type="dxa"/>
            <w:left w:w="108" w:type="dxa"/>
            <w:bottom w:w="0" w:type="dxa"/>
            <w:right w:w="108" w:type="dxa"/>
          </w:tblCellMar>
        </w:tblPrEx>
        <w:trPr>
          <w:trHeight w:val="626"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92C3">
            <w:pPr>
              <w:rPr>
                <w:rFonts w:ascii="宋体" w:hAnsi="宋体" w:cs="宋体"/>
                <w:color w:val="000000"/>
                <w:sz w:val="22"/>
                <w:szCs w:val="22"/>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4CB5">
            <w:pPr>
              <w:rPr>
                <w:rFonts w:ascii="宋体" w:hAnsi="宋体" w:cs="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9F21">
            <w:pPr>
              <w:widowControl/>
              <w:textAlignment w:val="center"/>
              <w:rPr>
                <w:rFonts w:ascii="宋体" w:hAnsi="宋体" w:cs="宋体"/>
                <w:color w:val="000000"/>
                <w:sz w:val="22"/>
                <w:szCs w:val="22"/>
              </w:rPr>
            </w:pPr>
            <w:r>
              <w:rPr>
                <w:rFonts w:hint="eastAsia" w:ascii="宋体" w:hAnsi="宋体" w:cs="宋体"/>
                <w:color w:val="000000"/>
                <w:kern w:val="0"/>
                <w:sz w:val="22"/>
                <w:szCs w:val="22"/>
              </w:rPr>
              <w:t>中文核心期刊论文</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0A35">
            <w:pPr>
              <w:widowControl/>
              <w:textAlignment w:val="center"/>
              <w:rPr>
                <w:rFonts w:ascii="宋体" w:hAnsi="宋体" w:cs="宋体"/>
                <w:color w:val="000000"/>
                <w:sz w:val="22"/>
                <w:szCs w:val="22"/>
              </w:rPr>
            </w:pPr>
            <w:r>
              <w:rPr>
                <w:rFonts w:hint="eastAsia" w:ascii="宋体" w:hAnsi="宋体" w:cs="宋体"/>
                <w:color w:val="000000"/>
                <w:kern w:val="0"/>
                <w:sz w:val="22"/>
                <w:szCs w:val="22"/>
              </w:rPr>
              <w:t>3</w:t>
            </w:r>
          </w:p>
        </w:tc>
        <w:tc>
          <w:tcPr>
            <w:tcW w:w="22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92F9D">
            <w:pPr>
              <w:rPr>
                <w:rFonts w:ascii="宋体" w:hAnsi="宋体" w:cs="宋体"/>
                <w:color w:val="000000"/>
                <w:sz w:val="22"/>
                <w:szCs w:val="22"/>
              </w:rPr>
            </w:pPr>
          </w:p>
        </w:tc>
      </w:tr>
      <w:tr w14:paraId="3A6F144F">
        <w:tblPrEx>
          <w:tblCellMar>
            <w:top w:w="0" w:type="dxa"/>
            <w:left w:w="108" w:type="dxa"/>
            <w:bottom w:w="0" w:type="dxa"/>
            <w:right w:w="108" w:type="dxa"/>
          </w:tblCellMar>
        </w:tblPrEx>
        <w:trPr>
          <w:trHeight w:val="654"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63E6">
            <w:pPr>
              <w:rPr>
                <w:rFonts w:ascii="宋体" w:hAnsi="宋体" w:cs="宋体"/>
                <w:color w:val="000000"/>
                <w:sz w:val="22"/>
                <w:szCs w:val="22"/>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8C6D">
            <w:pPr>
              <w:rPr>
                <w:rFonts w:ascii="宋体" w:hAnsi="宋体" w:cs="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73E2">
            <w:pPr>
              <w:widowControl/>
              <w:textAlignment w:val="center"/>
              <w:rPr>
                <w:rFonts w:ascii="宋体" w:hAnsi="宋体" w:cs="宋体"/>
                <w:color w:val="000000"/>
                <w:sz w:val="22"/>
                <w:szCs w:val="22"/>
              </w:rPr>
            </w:pPr>
            <w:r>
              <w:rPr>
                <w:rFonts w:hint="eastAsia" w:ascii="宋体" w:hAnsi="宋体" w:cs="宋体"/>
                <w:color w:val="000000"/>
                <w:kern w:val="0"/>
                <w:sz w:val="22"/>
                <w:szCs w:val="22"/>
              </w:rPr>
              <w:t>被EI检索的会议论文</w:t>
            </w:r>
          </w:p>
        </w:tc>
        <w:tc>
          <w:tcPr>
            <w:tcW w:w="76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C51669">
            <w:pPr>
              <w:widowControl/>
              <w:textAlignment w:val="center"/>
              <w:rPr>
                <w:rFonts w:ascii="宋体" w:hAnsi="宋体" w:cs="宋体"/>
                <w:color w:val="000000"/>
                <w:sz w:val="22"/>
                <w:szCs w:val="22"/>
              </w:rPr>
            </w:pPr>
            <w:r>
              <w:rPr>
                <w:rFonts w:hint="eastAsia" w:ascii="宋体" w:hAnsi="宋体" w:cs="宋体"/>
                <w:color w:val="000000"/>
                <w:kern w:val="0"/>
                <w:sz w:val="22"/>
                <w:szCs w:val="22"/>
              </w:rPr>
              <w:t>2</w:t>
            </w:r>
          </w:p>
        </w:tc>
        <w:tc>
          <w:tcPr>
            <w:tcW w:w="22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B8AF0">
            <w:pPr>
              <w:rPr>
                <w:rFonts w:ascii="宋体" w:hAnsi="宋体" w:cs="宋体"/>
                <w:color w:val="000000"/>
                <w:sz w:val="22"/>
                <w:szCs w:val="22"/>
              </w:rPr>
            </w:pPr>
          </w:p>
        </w:tc>
      </w:tr>
      <w:tr w14:paraId="514BAA69">
        <w:tblPrEx>
          <w:tblCellMar>
            <w:top w:w="0" w:type="dxa"/>
            <w:left w:w="108" w:type="dxa"/>
            <w:bottom w:w="0" w:type="dxa"/>
            <w:right w:w="108" w:type="dxa"/>
          </w:tblCellMar>
        </w:tblPrEx>
        <w:trPr>
          <w:trHeight w:val="204" w:hRule="atLeast"/>
        </w:trPr>
        <w:tc>
          <w:tcPr>
            <w:tcW w:w="1107" w:type="dxa"/>
            <w:vMerge w:val="restart"/>
            <w:tcBorders>
              <w:top w:val="single" w:color="000000" w:sz="4" w:space="0"/>
              <w:left w:val="single" w:color="000000" w:sz="4" w:space="0"/>
              <w:right w:val="single" w:color="000000" w:sz="4" w:space="0"/>
            </w:tcBorders>
            <w:shd w:val="clear" w:color="auto" w:fill="auto"/>
            <w:noWrap/>
            <w:vAlign w:val="center"/>
          </w:tcPr>
          <w:p w14:paraId="169AE5BB">
            <w:pPr>
              <w:rPr>
                <w:rFonts w:ascii="宋体" w:hAnsi="宋体" w:cs="宋体"/>
                <w:color w:val="000000"/>
                <w:sz w:val="22"/>
                <w:szCs w:val="22"/>
              </w:rPr>
            </w:pPr>
            <w:r>
              <w:rPr>
                <w:rFonts w:hint="eastAsia" w:ascii="宋体" w:hAnsi="宋体" w:cs="宋体"/>
                <w:color w:val="000000"/>
                <w:sz w:val="22"/>
                <w:szCs w:val="22"/>
              </w:rPr>
              <w:t>学科</w:t>
            </w:r>
          </w:p>
          <w:p w14:paraId="093E5988">
            <w:pPr>
              <w:rPr>
                <w:rFonts w:ascii="宋体" w:hAnsi="宋体" w:cs="宋体"/>
                <w:color w:val="000000"/>
                <w:sz w:val="22"/>
                <w:szCs w:val="22"/>
              </w:rPr>
            </w:pPr>
            <w:r>
              <w:rPr>
                <w:rFonts w:hint="eastAsia" w:ascii="宋体" w:hAnsi="宋体" w:cs="宋体"/>
                <w:color w:val="000000"/>
                <w:sz w:val="22"/>
                <w:szCs w:val="22"/>
              </w:rPr>
              <w:t>竞赛</w:t>
            </w:r>
          </w:p>
        </w:tc>
        <w:tc>
          <w:tcPr>
            <w:tcW w:w="1334" w:type="dxa"/>
            <w:vMerge w:val="restart"/>
            <w:tcBorders>
              <w:top w:val="single" w:color="000000" w:sz="4" w:space="0"/>
              <w:left w:val="single" w:color="000000" w:sz="4" w:space="0"/>
              <w:right w:val="single" w:color="000000" w:sz="4" w:space="0"/>
            </w:tcBorders>
            <w:shd w:val="clear" w:color="auto" w:fill="auto"/>
            <w:vAlign w:val="center"/>
          </w:tcPr>
          <w:p w14:paraId="52088E97">
            <w:pPr>
              <w:rPr>
                <w:rFonts w:ascii="宋体" w:hAnsi="宋体" w:cs="宋体"/>
                <w:color w:val="000000"/>
                <w:sz w:val="22"/>
                <w:szCs w:val="22"/>
              </w:rPr>
            </w:pPr>
            <w:r>
              <w:rPr>
                <w:rFonts w:hint="eastAsia" w:ascii="宋体" w:hAnsi="宋体" w:cs="宋体"/>
                <w:color w:val="000000"/>
                <w:sz w:val="22"/>
                <w:szCs w:val="22"/>
              </w:rPr>
              <w:t>学校认定的学科竞赛</w:t>
            </w:r>
          </w:p>
        </w:tc>
        <w:tc>
          <w:tcPr>
            <w:tcW w:w="1229" w:type="dxa"/>
            <w:vMerge w:val="restart"/>
            <w:tcBorders>
              <w:top w:val="single" w:color="000000" w:sz="4" w:space="0"/>
              <w:left w:val="single" w:color="000000" w:sz="4" w:space="0"/>
              <w:right w:val="single" w:color="000000" w:sz="4" w:space="0"/>
            </w:tcBorders>
            <w:shd w:val="clear" w:color="auto" w:fill="auto"/>
            <w:noWrap/>
            <w:vAlign w:val="center"/>
          </w:tcPr>
          <w:p w14:paraId="63854174">
            <w:pPr>
              <w:widowControl/>
              <w:textAlignment w:val="center"/>
              <w:rPr>
                <w:rFonts w:ascii="宋体" w:hAnsi="宋体" w:cs="宋体"/>
                <w:color w:val="000000"/>
                <w:sz w:val="22"/>
                <w:szCs w:val="22"/>
              </w:rPr>
            </w:pPr>
            <w:r>
              <w:rPr>
                <w:rFonts w:hint="eastAsia" w:ascii="宋体" w:hAnsi="宋体" w:cs="宋体"/>
                <w:color w:val="000000"/>
                <w:sz w:val="22"/>
                <w:szCs w:val="22"/>
              </w:rPr>
              <w:t>A1类</w:t>
            </w:r>
          </w:p>
          <w:p w14:paraId="75BF5E13">
            <w:pPr>
              <w:widowControl/>
              <w:textAlignment w:val="center"/>
              <w:rPr>
                <w:rFonts w:ascii="宋体" w:hAnsi="宋体" w:cs="宋体"/>
                <w:color w:val="000000"/>
                <w:sz w:val="22"/>
                <w:szCs w:val="22"/>
              </w:rPr>
            </w:pPr>
            <w:r>
              <w:rPr>
                <w:rFonts w:hint="eastAsia" w:ascii="宋体" w:hAnsi="宋体" w:cs="宋体"/>
                <w:color w:val="000000"/>
                <w:sz w:val="22"/>
                <w:szCs w:val="22"/>
              </w:rPr>
              <w:t>竞赛</w:t>
            </w: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A8E1EBC">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088D327D">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一等奖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8212EA">
            <w:pPr>
              <w:widowControl/>
              <w:textAlignment w:val="center"/>
              <w:rPr>
                <w:rFonts w:ascii="宋体" w:hAnsi="宋体" w:cs="宋体"/>
                <w:color w:val="000000"/>
                <w:sz w:val="22"/>
                <w:szCs w:val="22"/>
              </w:rPr>
            </w:pPr>
            <w:r>
              <w:rPr>
                <w:rFonts w:ascii="宋体" w:hAnsi="宋体" w:cs="宋体"/>
                <w:color w:val="000000"/>
                <w:sz w:val="22"/>
                <w:szCs w:val="22"/>
              </w:rPr>
              <w:t>8</w:t>
            </w:r>
          </w:p>
        </w:tc>
        <w:tc>
          <w:tcPr>
            <w:tcW w:w="2289" w:type="dxa"/>
            <w:vMerge w:val="restart"/>
            <w:tcBorders>
              <w:top w:val="single" w:color="000000" w:sz="4" w:space="0"/>
              <w:left w:val="single" w:color="auto" w:sz="4" w:space="0"/>
              <w:right w:val="single" w:color="000000" w:sz="4" w:space="0"/>
            </w:tcBorders>
            <w:shd w:val="clear" w:color="auto" w:fill="auto"/>
            <w:vAlign w:val="center"/>
          </w:tcPr>
          <w:p w14:paraId="1BA65666">
            <w:pPr>
              <w:widowControl/>
              <w:tabs>
                <w:tab w:val="center" w:pos="518"/>
              </w:tabs>
              <w:textAlignment w:val="center"/>
              <w:rPr>
                <w:rFonts w:ascii="宋体" w:hAnsi="宋体" w:cs="宋体"/>
                <w:color w:val="000000"/>
                <w:sz w:val="22"/>
                <w:szCs w:val="22"/>
              </w:rPr>
            </w:pPr>
            <w:r>
              <w:rPr>
                <w:rFonts w:hint="eastAsia" w:ascii="宋体" w:hAnsi="宋体" w:cs="宋体"/>
                <w:color w:val="000000"/>
                <w:sz w:val="22"/>
                <w:szCs w:val="22"/>
              </w:rPr>
              <w:t>作为主要成员参加（排名前三）依排名先后顺序按照比例计分。一人：100%；二人：6:4；三人：5:3:2。</w:t>
            </w:r>
          </w:p>
        </w:tc>
      </w:tr>
      <w:tr w14:paraId="15BD37B8">
        <w:tblPrEx>
          <w:tblCellMar>
            <w:top w:w="0" w:type="dxa"/>
            <w:left w:w="108" w:type="dxa"/>
            <w:bottom w:w="0" w:type="dxa"/>
            <w:right w:w="108" w:type="dxa"/>
          </w:tblCellMar>
        </w:tblPrEx>
        <w:trPr>
          <w:trHeight w:val="204" w:hRule="atLeast"/>
        </w:trPr>
        <w:tc>
          <w:tcPr>
            <w:tcW w:w="1107" w:type="dxa"/>
            <w:vMerge w:val="continue"/>
            <w:tcBorders>
              <w:left w:val="single" w:color="000000" w:sz="4" w:space="0"/>
              <w:right w:val="single" w:color="000000" w:sz="4" w:space="0"/>
            </w:tcBorders>
            <w:shd w:val="clear" w:color="auto" w:fill="auto"/>
            <w:noWrap/>
            <w:vAlign w:val="center"/>
          </w:tcPr>
          <w:p w14:paraId="3A54E8DA">
            <w:pPr>
              <w:widowControl/>
              <w:textAlignment w:val="center"/>
            </w:pPr>
          </w:p>
        </w:tc>
        <w:tc>
          <w:tcPr>
            <w:tcW w:w="1334" w:type="dxa"/>
            <w:vMerge w:val="continue"/>
            <w:tcBorders>
              <w:left w:val="single" w:color="000000" w:sz="4" w:space="0"/>
              <w:right w:val="single" w:color="000000" w:sz="4" w:space="0"/>
            </w:tcBorders>
            <w:shd w:val="clear" w:color="auto" w:fill="auto"/>
            <w:vAlign w:val="center"/>
          </w:tcPr>
          <w:p w14:paraId="4864E248">
            <w:pPr>
              <w:widowControl/>
              <w:textAlignment w:val="center"/>
            </w:pPr>
          </w:p>
        </w:tc>
        <w:tc>
          <w:tcPr>
            <w:tcW w:w="1229" w:type="dxa"/>
            <w:vMerge w:val="continue"/>
            <w:tcBorders>
              <w:left w:val="single" w:color="000000" w:sz="4" w:space="0"/>
              <w:right w:val="single" w:color="000000" w:sz="4" w:space="0"/>
            </w:tcBorders>
            <w:shd w:val="clear" w:color="auto" w:fill="auto"/>
            <w:noWrap/>
            <w:vAlign w:val="center"/>
          </w:tcPr>
          <w:p w14:paraId="1FAB15C3">
            <w:pPr>
              <w:widowControl/>
              <w:textAlignment w:val="center"/>
            </w:pP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7DBF1C3">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5651F7EC">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二等奖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63D80D">
            <w:pPr>
              <w:widowControl/>
              <w:textAlignment w:val="center"/>
              <w:rPr>
                <w:rFonts w:ascii="宋体" w:hAnsi="宋体" w:cs="宋体"/>
                <w:color w:val="000000"/>
                <w:kern w:val="0"/>
                <w:sz w:val="22"/>
                <w:szCs w:val="22"/>
              </w:rPr>
            </w:pPr>
            <w:r>
              <w:rPr>
                <w:rFonts w:ascii="宋体" w:hAnsi="宋体" w:cs="宋体"/>
                <w:color w:val="000000"/>
                <w:kern w:val="0"/>
                <w:sz w:val="22"/>
                <w:szCs w:val="22"/>
              </w:rPr>
              <w:t>7</w:t>
            </w:r>
          </w:p>
        </w:tc>
        <w:tc>
          <w:tcPr>
            <w:tcW w:w="2289" w:type="dxa"/>
            <w:vMerge w:val="continue"/>
            <w:tcBorders>
              <w:left w:val="single" w:color="auto" w:sz="4" w:space="0"/>
              <w:right w:val="single" w:color="000000" w:sz="4" w:space="0"/>
            </w:tcBorders>
            <w:shd w:val="clear" w:color="auto" w:fill="auto"/>
            <w:vAlign w:val="center"/>
          </w:tcPr>
          <w:p w14:paraId="204EF0A3">
            <w:pPr>
              <w:widowControl/>
              <w:textAlignment w:val="center"/>
              <w:rPr>
                <w:rFonts w:ascii="宋体" w:hAnsi="宋体" w:cs="宋体"/>
                <w:color w:val="000000"/>
                <w:kern w:val="0"/>
                <w:sz w:val="22"/>
                <w:szCs w:val="22"/>
                <w:highlight w:val="yellow"/>
              </w:rPr>
            </w:pPr>
          </w:p>
        </w:tc>
      </w:tr>
      <w:tr w14:paraId="0AACFFBA">
        <w:tblPrEx>
          <w:tblCellMar>
            <w:top w:w="0" w:type="dxa"/>
            <w:left w:w="108" w:type="dxa"/>
            <w:bottom w:w="0" w:type="dxa"/>
            <w:right w:w="108" w:type="dxa"/>
          </w:tblCellMar>
        </w:tblPrEx>
        <w:trPr>
          <w:trHeight w:val="204" w:hRule="atLeast"/>
        </w:trPr>
        <w:tc>
          <w:tcPr>
            <w:tcW w:w="1107" w:type="dxa"/>
            <w:vMerge w:val="continue"/>
            <w:tcBorders>
              <w:left w:val="single" w:color="000000" w:sz="4" w:space="0"/>
              <w:bottom w:val="single" w:color="000000" w:sz="4" w:space="0"/>
              <w:right w:val="single" w:color="000000" w:sz="4" w:space="0"/>
            </w:tcBorders>
            <w:shd w:val="clear" w:color="auto" w:fill="auto"/>
            <w:noWrap/>
            <w:vAlign w:val="center"/>
          </w:tcPr>
          <w:p w14:paraId="4CBC4513">
            <w:pPr>
              <w:widowControl/>
              <w:textAlignment w:val="center"/>
              <w:rPr>
                <w:rFonts w:ascii="宋体" w:hAnsi="宋体" w:cs="宋体"/>
                <w:color w:val="000000"/>
                <w:kern w:val="0"/>
                <w:sz w:val="22"/>
                <w:szCs w:val="22"/>
                <w:highlight w:val="yellow"/>
              </w:rPr>
            </w:pPr>
          </w:p>
        </w:tc>
        <w:tc>
          <w:tcPr>
            <w:tcW w:w="1334" w:type="dxa"/>
            <w:vMerge w:val="continue"/>
            <w:tcBorders>
              <w:left w:val="single" w:color="000000" w:sz="4" w:space="0"/>
              <w:bottom w:val="single" w:color="000000" w:sz="4" w:space="0"/>
              <w:right w:val="single" w:color="000000" w:sz="4" w:space="0"/>
            </w:tcBorders>
            <w:shd w:val="clear" w:color="auto" w:fill="auto"/>
            <w:vAlign w:val="center"/>
          </w:tcPr>
          <w:p w14:paraId="07215CDA">
            <w:pPr>
              <w:widowControl/>
              <w:textAlignment w:val="center"/>
              <w:rPr>
                <w:rFonts w:ascii="宋体" w:hAnsi="宋体" w:cs="宋体"/>
                <w:color w:val="000000"/>
                <w:kern w:val="0"/>
                <w:sz w:val="22"/>
                <w:szCs w:val="22"/>
                <w:highlight w:val="yellow"/>
              </w:rPr>
            </w:pPr>
          </w:p>
        </w:tc>
        <w:tc>
          <w:tcPr>
            <w:tcW w:w="1229" w:type="dxa"/>
            <w:vMerge w:val="continue"/>
            <w:tcBorders>
              <w:left w:val="single" w:color="000000" w:sz="4" w:space="0"/>
              <w:bottom w:val="single" w:color="000000" w:sz="4" w:space="0"/>
              <w:right w:val="single" w:color="000000" w:sz="4" w:space="0"/>
            </w:tcBorders>
            <w:shd w:val="clear" w:color="auto" w:fill="auto"/>
            <w:noWrap/>
            <w:vAlign w:val="center"/>
          </w:tcPr>
          <w:p w14:paraId="3BF4C97F">
            <w:pPr>
              <w:widowControl/>
              <w:textAlignment w:val="center"/>
              <w:rPr>
                <w:rFonts w:ascii="宋体" w:hAnsi="宋体" w:cs="宋体"/>
                <w:color w:val="000000"/>
                <w:kern w:val="0"/>
                <w:sz w:val="22"/>
                <w:szCs w:val="22"/>
              </w:rPr>
            </w:pP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0FAA623">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3FCDB2E6">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三等奖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2417F3">
            <w:pPr>
              <w:widowControl/>
              <w:textAlignment w:val="center"/>
              <w:rPr>
                <w:rFonts w:ascii="宋体" w:hAnsi="宋体" w:cs="宋体"/>
                <w:color w:val="000000"/>
                <w:kern w:val="0"/>
                <w:sz w:val="22"/>
                <w:szCs w:val="22"/>
              </w:rPr>
            </w:pPr>
            <w:r>
              <w:rPr>
                <w:rFonts w:ascii="宋体" w:hAnsi="宋体" w:cs="宋体"/>
                <w:color w:val="000000"/>
                <w:kern w:val="0"/>
                <w:sz w:val="22"/>
                <w:szCs w:val="22"/>
              </w:rPr>
              <w:t>6</w:t>
            </w:r>
          </w:p>
        </w:tc>
        <w:tc>
          <w:tcPr>
            <w:tcW w:w="2289" w:type="dxa"/>
            <w:vMerge w:val="continue"/>
            <w:tcBorders>
              <w:left w:val="single" w:color="auto" w:sz="4" w:space="0"/>
              <w:bottom w:val="single" w:color="000000" w:sz="4" w:space="0"/>
              <w:right w:val="single" w:color="000000" w:sz="4" w:space="0"/>
            </w:tcBorders>
            <w:shd w:val="clear" w:color="auto" w:fill="auto"/>
            <w:vAlign w:val="center"/>
          </w:tcPr>
          <w:p w14:paraId="33DC0514">
            <w:pPr>
              <w:widowControl/>
              <w:textAlignment w:val="center"/>
              <w:rPr>
                <w:rFonts w:ascii="宋体" w:hAnsi="宋体" w:cs="宋体"/>
                <w:color w:val="000000"/>
                <w:kern w:val="0"/>
                <w:sz w:val="22"/>
                <w:szCs w:val="22"/>
                <w:highlight w:val="yellow"/>
              </w:rPr>
            </w:pPr>
          </w:p>
        </w:tc>
      </w:tr>
      <w:tr w14:paraId="50E8B4D0">
        <w:tblPrEx>
          <w:tblCellMar>
            <w:top w:w="0" w:type="dxa"/>
            <w:left w:w="108" w:type="dxa"/>
            <w:bottom w:w="0" w:type="dxa"/>
            <w:right w:w="108" w:type="dxa"/>
          </w:tblCellMar>
        </w:tblPrEx>
        <w:trPr>
          <w:trHeight w:val="356"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ED9D">
            <w:pPr>
              <w:rPr>
                <w:rFonts w:ascii="宋体" w:hAnsi="宋体" w:cs="宋体"/>
                <w:color w:val="000000"/>
                <w:sz w:val="22"/>
                <w:szCs w:val="22"/>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1EEA7">
            <w:pPr>
              <w:rPr>
                <w:rFonts w:ascii="宋体" w:hAnsi="宋体" w:cs="宋体"/>
                <w:color w:val="000000"/>
                <w:sz w:val="22"/>
                <w:szCs w:val="22"/>
              </w:rPr>
            </w:pPr>
          </w:p>
        </w:tc>
        <w:tc>
          <w:tcPr>
            <w:tcW w:w="1229" w:type="dxa"/>
            <w:vMerge w:val="restart"/>
            <w:tcBorders>
              <w:top w:val="single" w:color="000000" w:sz="4" w:space="0"/>
              <w:left w:val="single" w:color="000000" w:sz="4" w:space="0"/>
              <w:right w:val="single" w:color="000000" w:sz="4" w:space="0"/>
            </w:tcBorders>
            <w:shd w:val="clear" w:color="auto" w:fill="auto"/>
            <w:noWrap/>
            <w:vAlign w:val="center"/>
          </w:tcPr>
          <w:p w14:paraId="05B992A6">
            <w:pPr>
              <w:widowControl/>
              <w:textAlignment w:val="center"/>
              <w:rPr>
                <w:rFonts w:ascii="宋体" w:hAnsi="宋体" w:cs="宋体"/>
                <w:color w:val="000000"/>
                <w:sz w:val="22"/>
                <w:szCs w:val="22"/>
              </w:rPr>
            </w:pPr>
            <w:r>
              <w:rPr>
                <w:rFonts w:hint="eastAsia" w:ascii="宋体" w:hAnsi="宋体" w:cs="宋体"/>
                <w:color w:val="000000"/>
                <w:sz w:val="22"/>
                <w:szCs w:val="22"/>
              </w:rPr>
              <w:t>A2类</w:t>
            </w:r>
          </w:p>
          <w:p w14:paraId="72B5DDE9">
            <w:pPr>
              <w:widowControl/>
              <w:textAlignment w:val="center"/>
              <w:rPr>
                <w:rFonts w:ascii="宋体" w:hAnsi="宋体" w:cs="宋体"/>
                <w:color w:val="000000"/>
                <w:sz w:val="22"/>
                <w:szCs w:val="22"/>
              </w:rPr>
            </w:pPr>
            <w:r>
              <w:rPr>
                <w:rFonts w:hint="eastAsia" w:ascii="宋体" w:hAnsi="宋体" w:cs="宋体"/>
                <w:color w:val="000000"/>
                <w:sz w:val="22"/>
                <w:szCs w:val="22"/>
              </w:rPr>
              <w:t>竞赛</w:t>
            </w: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2569BD5">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0D5B1018">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一等奖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BB700">
            <w:pPr>
              <w:widowControl/>
              <w:textAlignment w:val="center"/>
              <w:rPr>
                <w:rFonts w:ascii="宋体" w:hAnsi="宋体" w:cs="宋体"/>
                <w:color w:val="000000"/>
                <w:sz w:val="22"/>
                <w:szCs w:val="22"/>
              </w:rPr>
            </w:pPr>
            <w:r>
              <w:rPr>
                <w:rFonts w:ascii="宋体" w:hAnsi="宋体" w:cs="宋体"/>
                <w:color w:val="000000"/>
                <w:kern w:val="0"/>
                <w:sz w:val="22"/>
                <w:szCs w:val="22"/>
              </w:rPr>
              <w:t>7</w:t>
            </w:r>
          </w:p>
        </w:tc>
        <w:tc>
          <w:tcPr>
            <w:tcW w:w="2289"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A0174A5">
            <w:pPr>
              <w:rPr>
                <w:rFonts w:ascii="宋体" w:hAnsi="宋体" w:cs="宋体"/>
                <w:color w:val="000000"/>
                <w:sz w:val="22"/>
                <w:szCs w:val="22"/>
              </w:rPr>
            </w:pPr>
          </w:p>
        </w:tc>
      </w:tr>
      <w:tr w14:paraId="4ACE8627">
        <w:tblPrEx>
          <w:tblCellMar>
            <w:top w:w="0" w:type="dxa"/>
            <w:left w:w="108" w:type="dxa"/>
            <w:bottom w:w="0" w:type="dxa"/>
            <w:right w:w="108" w:type="dxa"/>
          </w:tblCellMar>
        </w:tblPrEx>
        <w:trPr>
          <w:trHeight w:val="356"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15C3">
            <w:pPr>
              <w:widowControl/>
              <w:textAlignment w:val="cente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FD2F1">
            <w:pPr>
              <w:widowControl/>
              <w:textAlignment w:val="center"/>
            </w:pPr>
          </w:p>
        </w:tc>
        <w:tc>
          <w:tcPr>
            <w:tcW w:w="1229" w:type="dxa"/>
            <w:vMerge w:val="continue"/>
            <w:tcBorders>
              <w:left w:val="single" w:color="000000" w:sz="4" w:space="0"/>
              <w:right w:val="single" w:color="000000" w:sz="4" w:space="0"/>
            </w:tcBorders>
            <w:shd w:val="clear" w:color="auto" w:fill="auto"/>
            <w:noWrap/>
            <w:vAlign w:val="center"/>
          </w:tcPr>
          <w:p w14:paraId="25294FB7">
            <w:pPr>
              <w:widowControl/>
              <w:textAlignment w:val="center"/>
            </w:pP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BA19F0E">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2CB5F8D1">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二等奖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E0ADED">
            <w:pPr>
              <w:widowControl/>
              <w:textAlignment w:val="center"/>
              <w:rPr>
                <w:rFonts w:ascii="宋体" w:hAnsi="宋体" w:cs="宋体"/>
                <w:color w:val="000000"/>
                <w:kern w:val="0"/>
                <w:sz w:val="22"/>
                <w:szCs w:val="22"/>
              </w:rPr>
            </w:pPr>
            <w:r>
              <w:rPr>
                <w:rFonts w:ascii="宋体" w:hAnsi="宋体" w:cs="宋体"/>
                <w:color w:val="000000"/>
                <w:kern w:val="0"/>
                <w:sz w:val="22"/>
                <w:szCs w:val="22"/>
              </w:rPr>
              <w:t>6</w:t>
            </w:r>
          </w:p>
        </w:tc>
        <w:tc>
          <w:tcPr>
            <w:tcW w:w="2289"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B3BADCD">
            <w:pPr>
              <w:widowControl/>
              <w:textAlignment w:val="center"/>
              <w:rPr>
                <w:rFonts w:ascii="宋体" w:hAnsi="宋体" w:cs="宋体"/>
                <w:color w:val="000000"/>
                <w:kern w:val="0"/>
                <w:sz w:val="22"/>
                <w:szCs w:val="22"/>
                <w:highlight w:val="yellow"/>
              </w:rPr>
            </w:pPr>
          </w:p>
        </w:tc>
      </w:tr>
      <w:tr w14:paraId="212EC33E">
        <w:tblPrEx>
          <w:tblCellMar>
            <w:top w:w="0" w:type="dxa"/>
            <w:left w:w="108" w:type="dxa"/>
            <w:bottom w:w="0" w:type="dxa"/>
            <w:right w:w="108" w:type="dxa"/>
          </w:tblCellMar>
        </w:tblPrEx>
        <w:trPr>
          <w:trHeight w:val="356" w:hRule="atLeast"/>
        </w:trPr>
        <w:tc>
          <w:tcPr>
            <w:tcW w:w="1107" w:type="dxa"/>
            <w:vMerge w:val="continue"/>
            <w:tcBorders>
              <w:left w:val="single" w:color="000000" w:sz="4" w:space="0"/>
              <w:bottom w:val="single" w:color="000000" w:sz="4" w:space="0"/>
              <w:right w:val="single" w:color="000000" w:sz="4" w:space="0"/>
            </w:tcBorders>
            <w:shd w:val="clear" w:color="auto" w:fill="auto"/>
            <w:noWrap/>
            <w:vAlign w:val="center"/>
          </w:tcPr>
          <w:p w14:paraId="46BAF221">
            <w:pPr>
              <w:widowControl/>
              <w:textAlignment w:val="center"/>
              <w:rPr>
                <w:rFonts w:ascii="宋体" w:hAnsi="宋体" w:cs="宋体"/>
                <w:color w:val="000000"/>
                <w:kern w:val="0"/>
                <w:sz w:val="22"/>
                <w:szCs w:val="22"/>
                <w:highlight w:val="yellow"/>
              </w:rPr>
            </w:pPr>
          </w:p>
        </w:tc>
        <w:tc>
          <w:tcPr>
            <w:tcW w:w="1334" w:type="dxa"/>
            <w:vMerge w:val="continue"/>
            <w:tcBorders>
              <w:left w:val="single" w:color="000000" w:sz="4" w:space="0"/>
              <w:bottom w:val="single" w:color="000000" w:sz="4" w:space="0"/>
              <w:right w:val="single" w:color="000000" w:sz="4" w:space="0"/>
            </w:tcBorders>
            <w:shd w:val="clear" w:color="auto" w:fill="auto"/>
            <w:vAlign w:val="center"/>
          </w:tcPr>
          <w:p w14:paraId="2BB3DCF5">
            <w:pPr>
              <w:widowControl/>
              <w:textAlignment w:val="center"/>
              <w:rPr>
                <w:rFonts w:ascii="宋体" w:hAnsi="宋体" w:cs="宋体"/>
                <w:color w:val="000000"/>
                <w:kern w:val="0"/>
                <w:sz w:val="22"/>
                <w:szCs w:val="22"/>
                <w:highlight w:val="yellow"/>
              </w:rPr>
            </w:pPr>
          </w:p>
        </w:tc>
        <w:tc>
          <w:tcPr>
            <w:tcW w:w="1229" w:type="dxa"/>
            <w:vMerge w:val="continue"/>
            <w:tcBorders>
              <w:left w:val="single" w:color="000000" w:sz="4" w:space="0"/>
              <w:bottom w:val="single" w:color="000000" w:sz="4" w:space="0"/>
              <w:right w:val="single" w:color="000000" w:sz="4" w:space="0"/>
            </w:tcBorders>
            <w:shd w:val="clear" w:color="auto" w:fill="auto"/>
            <w:noWrap/>
            <w:vAlign w:val="center"/>
          </w:tcPr>
          <w:p w14:paraId="0BC56DD9">
            <w:pPr>
              <w:widowControl/>
              <w:textAlignment w:val="center"/>
              <w:rPr>
                <w:rFonts w:ascii="宋体" w:hAnsi="宋体" w:cs="宋体"/>
                <w:color w:val="000000"/>
                <w:kern w:val="0"/>
                <w:sz w:val="22"/>
                <w:szCs w:val="22"/>
              </w:rPr>
            </w:pP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2221814">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4DAFED6C">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三等奖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637FA">
            <w:pPr>
              <w:widowControl/>
              <w:textAlignment w:val="center"/>
              <w:rPr>
                <w:rFonts w:ascii="宋体" w:hAnsi="宋体" w:cs="宋体"/>
                <w:color w:val="000000"/>
                <w:kern w:val="0"/>
                <w:sz w:val="22"/>
                <w:szCs w:val="22"/>
              </w:rPr>
            </w:pPr>
            <w:r>
              <w:rPr>
                <w:rFonts w:ascii="宋体" w:hAnsi="宋体" w:cs="宋体"/>
                <w:color w:val="000000"/>
                <w:kern w:val="0"/>
                <w:sz w:val="22"/>
                <w:szCs w:val="22"/>
              </w:rPr>
              <w:t>5</w:t>
            </w:r>
          </w:p>
        </w:tc>
        <w:tc>
          <w:tcPr>
            <w:tcW w:w="2289" w:type="dxa"/>
            <w:vMerge w:val="continue"/>
            <w:tcBorders>
              <w:left w:val="single" w:color="auto" w:sz="4" w:space="0"/>
              <w:bottom w:val="single" w:color="000000" w:sz="4" w:space="0"/>
              <w:right w:val="single" w:color="000000" w:sz="4" w:space="0"/>
            </w:tcBorders>
            <w:shd w:val="clear" w:color="auto" w:fill="auto"/>
            <w:vAlign w:val="center"/>
          </w:tcPr>
          <w:p w14:paraId="5ED8723D">
            <w:pPr>
              <w:widowControl/>
              <w:textAlignment w:val="center"/>
              <w:rPr>
                <w:rFonts w:ascii="宋体" w:hAnsi="宋体" w:cs="宋体"/>
                <w:color w:val="000000"/>
                <w:kern w:val="0"/>
                <w:sz w:val="22"/>
                <w:szCs w:val="22"/>
                <w:highlight w:val="yellow"/>
              </w:rPr>
            </w:pPr>
          </w:p>
        </w:tc>
      </w:tr>
      <w:tr w14:paraId="1599FE95">
        <w:tblPrEx>
          <w:tblCellMar>
            <w:top w:w="0" w:type="dxa"/>
            <w:left w:w="108" w:type="dxa"/>
            <w:bottom w:w="0" w:type="dxa"/>
            <w:right w:w="108" w:type="dxa"/>
          </w:tblCellMar>
        </w:tblPrEx>
        <w:trPr>
          <w:trHeight w:val="356"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E8B1">
            <w:pPr>
              <w:rPr>
                <w:rFonts w:ascii="宋体" w:hAnsi="宋体" w:cs="宋体"/>
                <w:color w:val="000000"/>
                <w:sz w:val="22"/>
                <w:szCs w:val="22"/>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FC622">
            <w:pPr>
              <w:rPr>
                <w:rFonts w:ascii="宋体" w:hAnsi="宋体" w:cs="宋体"/>
                <w:color w:val="000000"/>
                <w:sz w:val="22"/>
                <w:szCs w:val="22"/>
              </w:rPr>
            </w:pPr>
          </w:p>
        </w:tc>
        <w:tc>
          <w:tcPr>
            <w:tcW w:w="1229" w:type="dxa"/>
            <w:vMerge w:val="restart"/>
            <w:tcBorders>
              <w:top w:val="single" w:color="000000" w:sz="4" w:space="0"/>
              <w:left w:val="single" w:color="000000" w:sz="4" w:space="0"/>
              <w:right w:val="single" w:color="000000" w:sz="4" w:space="0"/>
            </w:tcBorders>
            <w:shd w:val="clear" w:color="auto" w:fill="auto"/>
            <w:noWrap/>
            <w:vAlign w:val="center"/>
          </w:tcPr>
          <w:p w14:paraId="76717C88">
            <w:pPr>
              <w:widowControl/>
              <w:textAlignment w:val="center"/>
              <w:rPr>
                <w:rFonts w:ascii="宋体" w:hAnsi="宋体" w:cs="宋体"/>
                <w:color w:val="000000"/>
                <w:sz w:val="22"/>
                <w:szCs w:val="22"/>
              </w:rPr>
            </w:pPr>
            <w:r>
              <w:rPr>
                <w:rFonts w:hint="eastAsia" w:ascii="宋体" w:hAnsi="宋体" w:cs="宋体"/>
                <w:color w:val="000000"/>
                <w:sz w:val="22"/>
                <w:szCs w:val="22"/>
              </w:rPr>
              <w:t>B类</w:t>
            </w:r>
          </w:p>
          <w:p w14:paraId="5FCC7A54">
            <w:pPr>
              <w:widowControl/>
              <w:textAlignment w:val="center"/>
              <w:rPr>
                <w:rFonts w:ascii="宋体" w:hAnsi="宋体" w:cs="宋体"/>
                <w:color w:val="000000"/>
                <w:sz w:val="22"/>
                <w:szCs w:val="22"/>
              </w:rPr>
            </w:pPr>
            <w:r>
              <w:rPr>
                <w:rFonts w:hint="eastAsia" w:ascii="宋体" w:hAnsi="宋体" w:cs="宋体"/>
                <w:color w:val="000000"/>
                <w:sz w:val="22"/>
                <w:szCs w:val="22"/>
              </w:rPr>
              <w:t>竞赛</w:t>
            </w: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74659EC">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368D99D8">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一等奖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8E557C">
            <w:pPr>
              <w:widowControl/>
              <w:textAlignment w:val="center"/>
              <w:rPr>
                <w:rFonts w:ascii="宋体" w:hAnsi="宋体" w:cs="宋体"/>
                <w:color w:val="000000"/>
                <w:sz w:val="22"/>
                <w:szCs w:val="22"/>
              </w:rPr>
            </w:pPr>
            <w:r>
              <w:rPr>
                <w:rFonts w:ascii="宋体" w:hAnsi="宋体" w:cs="宋体"/>
                <w:color w:val="000000"/>
                <w:kern w:val="0"/>
                <w:sz w:val="22"/>
                <w:szCs w:val="22"/>
              </w:rPr>
              <w:t>6</w:t>
            </w:r>
          </w:p>
        </w:tc>
        <w:tc>
          <w:tcPr>
            <w:tcW w:w="2289"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B255BC1">
            <w:pPr>
              <w:rPr>
                <w:rFonts w:ascii="宋体" w:hAnsi="宋体" w:cs="宋体"/>
                <w:color w:val="000000"/>
                <w:sz w:val="22"/>
                <w:szCs w:val="22"/>
              </w:rPr>
            </w:pPr>
          </w:p>
        </w:tc>
      </w:tr>
      <w:tr w14:paraId="186F027C">
        <w:tblPrEx>
          <w:tblCellMar>
            <w:top w:w="0" w:type="dxa"/>
            <w:left w:w="108" w:type="dxa"/>
            <w:bottom w:w="0" w:type="dxa"/>
            <w:right w:w="108" w:type="dxa"/>
          </w:tblCellMar>
        </w:tblPrEx>
        <w:trPr>
          <w:trHeight w:val="356"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EE7B">
            <w:pPr>
              <w:widowControl/>
              <w:textAlignment w:val="cente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3D41D">
            <w:pPr>
              <w:widowControl/>
              <w:textAlignment w:val="center"/>
            </w:pPr>
          </w:p>
        </w:tc>
        <w:tc>
          <w:tcPr>
            <w:tcW w:w="1229" w:type="dxa"/>
            <w:vMerge w:val="continue"/>
            <w:tcBorders>
              <w:left w:val="single" w:color="000000" w:sz="4" w:space="0"/>
              <w:right w:val="single" w:color="000000" w:sz="4" w:space="0"/>
            </w:tcBorders>
            <w:shd w:val="clear" w:color="auto" w:fill="auto"/>
            <w:noWrap/>
            <w:vAlign w:val="center"/>
          </w:tcPr>
          <w:p w14:paraId="2767589A">
            <w:pPr>
              <w:widowControl/>
              <w:textAlignment w:val="center"/>
            </w:pP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E9178E2">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677730AB">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二等奖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726E30">
            <w:pPr>
              <w:widowControl/>
              <w:textAlignment w:val="center"/>
              <w:rPr>
                <w:rFonts w:ascii="宋体" w:hAnsi="宋体" w:cs="宋体"/>
                <w:color w:val="000000"/>
                <w:kern w:val="0"/>
                <w:sz w:val="22"/>
                <w:szCs w:val="22"/>
              </w:rPr>
            </w:pPr>
            <w:r>
              <w:rPr>
                <w:rFonts w:ascii="宋体" w:hAnsi="宋体" w:cs="宋体"/>
                <w:color w:val="000000"/>
                <w:kern w:val="0"/>
                <w:sz w:val="22"/>
                <w:szCs w:val="22"/>
              </w:rPr>
              <w:t>5</w:t>
            </w:r>
          </w:p>
        </w:tc>
        <w:tc>
          <w:tcPr>
            <w:tcW w:w="2289"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2EE9A88">
            <w:pPr>
              <w:widowControl/>
              <w:textAlignment w:val="center"/>
              <w:rPr>
                <w:rFonts w:ascii="宋体" w:hAnsi="宋体" w:cs="宋体"/>
                <w:color w:val="000000"/>
                <w:kern w:val="0"/>
                <w:sz w:val="22"/>
                <w:szCs w:val="22"/>
                <w:highlight w:val="yellow"/>
              </w:rPr>
            </w:pPr>
          </w:p>
        </w:tc>
      </w:tr>
      <w:tr w14:paraId="574C9247">
        <w:tblPrEx>
          <w:tblCellMar>
            <w:top w:w="0" w:type="dxa"/>
            <w:left w:w="108" w:type="dxa"/>
            <w:bottom w:w="0" w:type="dxa"/>
            <w:right w:w="108" w:type="dxa"/>
          </w:tblCellMar>
        </w:tblPrEx>
        <w:trPr>
          <w:trHeight w:val="356" w:hRule="atLeast"/>
        </w:trPr>
        <w:tc>
          <w:tcPr>
            <w:tcW w:w="1107" w:type="dxa"/>
            <w:vMerge w:val="continue"/>
            <w:tcBorders>
              <w:left w:val="single" w:color="000000" w:sz="4" w:space="0"/>
              <w:bottom w:val="single" w:color="000000" w:sz="4" w:space="0"/>
              <w:right w:val="single" w:color="000000" w:sz="4" w:space="0"/>
            </w:tcBorders>
            <w:shd w:val="clear" w:color="auto" w:fill="auto"/>
            <w:noWrap/>
            <w:vAlign w:val="center"/>
          </w:tcPr>
          <w:p w14:paraId="6961A8F9">
            <w:pPr>
              <w:widowControl/>
              <w:textAlignment w:val="center"/>
              <w:rPr>
                <w:rFonts w:ascii="宋体" w:hAnsi="宋体" w:cs="宋体"/>
                <w:color w:val="000000"/>
                <w:kern w:val="0"/>
                <w:sz w:val="22"/>
                <w:szCs w:val="22"/>
                <w:highlight w:val="yellow"/>
              </w:rPr>
            </w:pPr>
          </w:p>
        </w:tc>
        <w:tc>
          <w:tcPr>
            <w:tcW w:w="1334" w:type="dxa"/>
            <w:vMerge w:val="continue"/>
            <w:tcBorders>
              <w:left w:val="single" w:color="000000" w:sz="4" w:space="0"/>
              <w:bottom w:val="single" w:color="000000" w:sz="4" w:space="0"/>
              <w:right w:val="single" w:color="000000" w:sz="4" w:space="0"/>
            </w:tcBorders>
            <w:shd w:val="clear" w:color="auto" w:fill="auto"/>
            <w:vAlign w:val="center"/>
          </w:tcPr>
          <w:p w14:paraId="4CAA210B">
            <w:pPr>
              <w:widowControl/>
              <w:textAlignment w:val="center"/>
              <w:rPr>
                <w:rFonts w:ascii="宋体" w:hAnsi="宋体" w:cs="宋体"/>
                <w:color w:val="000000"/>
                <w:kern w:val="0"/>
                <w:sz w:val="22"/>
                <w:szCs w:val="22"/>
                <w:highlight w:val="yellow"/>
              </w:rPr>
            </w:pPr>
          </w:p>
        </w:tc>
        <w:tc>
          <w:tcPr>
            <w:tcW w:w="1229" w:type="dxa"/>
            <w:vMerge w:val="continue"/>
            <w:tcBorders>
              <w:left w:val="single" w:color="000000" w:sz="4" w:space="0"/>
              <w:bottom w:val="single" w:color="000000" w:sz="4" w:space="0"/>
              <w:right w:val="single" w:color="000000" w:sz="4" w:space="0"/>
            </w:tcBorders>
            <w:shd w:val="clear" w:color="auto" w:fill="auto"/>
            <w:noWrap/>
            <w:vAlign w:val="center"/>
          </w:tcPr>
          <w:p w14:paraId="2045001C">
            <w:pPr>
              <w:widowControl/>
              <w:textAlignment w:val="center"/>
              <w:rPr>
                <w:rFonts w:ascii="宋体" w:hAnsi="宋体" w:cs="宋体"/>
                <w:color w:val="000000"/>
                <w:kern w:val="0"/>
                <w:sz w:val="22"/>
                <w:szCs w:val="22"/>
              </w:rPr>
            </w:pPr>
          </w:p>
        </w:tc>
        <w:tc>
          <w:tcPr>
            <w:tcW w:w="136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AF1418F">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国家级</w:t>
            </w:r>
          </w:p>
          <w:p w14:paraId="09CE72A2">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三等奖</w:t>
            </w:r>
          </w:p>
        </w:tc>
        <w:tc>
          <w:tcPr>
            <w:tcW w:w="7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F8CE00">
            <w:pPr>
              <w:widowControl/>
              <w:textAlignment w:val="center"/>
              <w:rPr>
                <w:rFonts w:ascii="宋体" w:hAnsi="宋体" w:cs="宋体"/>
                <w:color w:val="000000"/>
                <w:kern w:val="0"/>
                <w:sz w:val="22"/>
                <w:szCs w:val="22"/>
              </w:rPr>
            </w:pPr>
            <w:r>
              <w:rPr>
                <w:rFonts w:ascii="宋体" w:hAnsi="宋体" w:cs="宋体"/>
                <w:color w:val="000000"/>
                <w:kern w:val="0"/>
                <w:sz w:val="22"/>
                <w:szCs w:val="22"/>
              </w:rPr>
              <w:t>4</w:t>
            </w:r>
          </w:p>
        </w:tc>
        <w:tc>
          <w:tcPr>
            <w:tcW w:w="2289" w:type="dxa"/>
            <w:vMerge w:val="continue"/>
            <w:tcBorders>
              <w:left w:val="single" w:color="auto" w:sz="4" w:space="0"/>
              <w:bottom w:val="single" w:color="000000" w:sz="4" w:space="0"/>
              <w:right w:val="single" w:color="000000" w:sz="4" w:space="0"/>
            </w:tcBorders>
            <w:shd w:val="clear" w:color="auto" w:fill="auto"/>
            <w:vAlign w:val="center"/>
          </w:tcPr>
          <w:p w14:paraId="01F8724E">
            <w:pPr>
              <w:widowControl/>
              <w:textAlignment w:val="center"/>
              <w:rPr>
                <w:rFonts w:ascii="宋体" w:hAnsi="宋体" w:cs="宋体"/>
                <w:color w:val="000000"/>
                <w:kern w:val="0"/>
                <w:sz w:val="22"/>
                <w:szCs w:val="22"/>
                <w:highlight w:val="yellow"/>
              </w:rPr>
            </w:pPr>
          </w:p>
        </w:tc>
      </w:tr>
      <w:tr w14:paraId="20B2A2F1">
        <w:tblPrEx>
          <w:tblCellMar>
            <w:top w:w="0" w:type="dxa"/>
            <w:left w:w="108" w:type="dxa"/>
            <w:bottom w:w="0" w:type="dxa"/>
            <w:right w:w="108" w:type="dxa"/>
          </w:tblCellMar>
        </w:tblPrEx>
        <w:trPr>
          <w:trHeight w:val="270" w:hRule="atLeast"/>
        </w:trPr>
        <w:tc>
          <w:tcPr>
            <w:tcW w:w="11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05DFC">
            <w:pPr>
              <w:widowControl/>
              <w:textAlignment w:val="center"/>
              <w:rPr>
                <w:rFonts w:ascii="宋体" w:hAnsi="宋体" w:cs="宋体"/>
                <w:color w:val="000000"/>
                <w:sz w:val="22"/>
                <w:szCs w:val="22"/>
              </w:rPr>
            </w:pPr>
            <w:r>
              <w:rPr>
                <w:rFonts w:hint="eastAsia" w:ascii="宋体" w:hAnsi="宋体" w:cs="宋体"/>
                <w:color w:val="000000"/>
                <w:kern w:val="0"/>
                <w:sz w:val="22"/>
                <w:szCs w:val="22"/>
              </w:rPr>
              <w:t>学生参军入伍服兵役</w:t>
            </w:r>
          </w:p>
        </w:tc>
        <w:tc>
          <w:tcPr>
            <w:tcW w:w="13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F230">
            <w:pPr>
              <w:widowControl/>
              <w:textAlignment w:val="center"/>
              <w:rPr>
                <w:rFonts w:ascii="宋体" w:hAnsi="宋体" w:cs="宋体"/>
                <w:color w:val="000000"/>
                <w:sz w:val="22"/>
                <w:szCs w:val="22"/>
              </w:rPr>
            </w:pPr>
            <w:r>
              <w:rPr>
                <w:rFonts w:hint="eastAsia" w:ascii="宋体" w:hAnsi="宋体" w:cs="宋体"/>
                <w:color w:val="000000"/>
                <w:kern w:val="0"/>
                <w:sz w:val="22"/>
                <w:szCs w:val="22"/>
              </w:rPr>
              <w:t>军功</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BB11">
            <w:pPr>
              <w:widowControl/>
              <w:textAlignment w:val="center"/>
              <w:rPr>
                <w:rFonts w:ascii="宋体" w:hAnsi="宋体" w:cs="宋体"/>
                <w:color w:val="000000"/>
                <w:sz w:val="22"/>
                <w:szCs w:val="22"/>
              </w:rPr>
            </w:pPr>
            <w:r>
              <w:rPr>
                <w:rFonts w:hint="eastAsia" w:ascii="宋体" w:hAnsi="宋体" w:cs="宋体"/>
                <w:color w:val="000000"/>
                <w:kern w:val="0"/>
                <w:sz w:val="22"/>
                <w:szCs w:val="22"/>
              </w:rPr>
              <w:t>一等功</w:t>
            </w:r>
          </w:p>
        </w:tc>
        <w:tc>
          <w:tcPr>
            <w:tcW w:w="76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E24CA1B">
            <w:pPr>
              <w:rPr>
                <w:rFonts w:ascii="宋体" w:hAnsi="宋体" w:cs="宋体"/>
                <w:color w:val="000000"/>
                <w:sz w:val="22"/>
                <w:szCs w:val="22"/>
              </w:rPr>
            </w:pPr>
            <w:r>
              <w:rPr>
                <w:rFonts w:ascii="宋体" w:hAnsi="宋体" w:cs="宋体"/>
                <w:color w:val="000000"/>
                <w:sz w:val="22"/>
                <w:szCs w:val="22"/>
              </w:rPr>
              <w:t>15</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6F58">
            <w:pPr>
              <w:rPr>
                <w:rFonts w:ascii="宋体" w:hAnsi="宋体" w:cs="宋体"/>
                <w:color w:val="000000"/>
                <w:sz w:val="22"/>
                <w:szCs w:val="22"/>
              </w:rPr>
            </w:pPr>
          </w:p>
        </w:tc>
      </w:tr>
      <w:tr w14:paraId="6A0AAC0D">
        <w:tblPrEx>
          <w:tblCellMar>
            <w:top w:w="0" w:type="dxa"/>
            <w:left w:w="108" w:type="dxa"/>
            <w:bottom w:w="0" w:type="dxa"/>
            <w:right w:w="108" w:type="dxa"/>
          </w:tblCellMar>
        </w:tblPrEx>
        <w:trPr>
          <w:trHeight w:val="270"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5E135">
            <w:pPr>
              <w:rPr>
                <w:rFonts w:ascii="宋体" w:hAnsi="宋体" w:cs="宋体"/>
                <w:color w:val="000000"/>
                <w:sz w:val="22"/>
                <w:szCs w:val="22"/>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84E9">
            <w:pPr>
              <w:rPr>
                <w:rFonts w:ascii="宋体" w:hAnsi="宋体" w:cs="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FEEF">
            <w:pPr>
              <w:widowControl/>
              <w:textAlignment w:val="center"/>
              <w:rPr>
                <w:rFonts w:ascii="宋体" w:hAnsi="宋体" w:cs="宋体"/>
                <w:color w:val="000000"/>
                <w:sz w:val="22"/>
                <w:szCs w:val="22"/>
              </w:rPr>
            </w:pPr>
            <w:r>
              <w:rPr>
                <w:rFonts w:hint="eastAsia" w:ascii="宋体" w:hAnsi="宋体" w:cs="宋体"/>
                <w:color w:val="000000"/>
                <w:kern w:val="0"/>
                <w:sz w:val="22"/>
                <w:szCs w:val="22"/>
              </w:rPr>
              <w:t>二等功</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F058">
            <w:pPr>
              <w:rPr>
                <w:rFonts w:ascii="宋体" w:hAnsi="宋体" w:cs="宋体"/>
                <w:color w:val="000000"/>
                <w:sz w:val="22"/>
                <w:szCs w:val="22"/>
              </w:rPr>
            </w:pPr>
            <w:r>
              <w:rPr>
                <w:rFonts w:ascii="宋体" w:hAnsi="宋体" w:cs="宋体"/>
                <w:color w:val="000000"/>
                <w:sz w:val="22"/>
                <w:szCs w:val="22"/>
              </w:rPr>
              <w:t>10</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29E4">
            <w:pPr>
              <w:rPr>
                <w:rFonts w:ascii="宋体" w:hAnsi="宋体" w:cs="宋体"/>
                <w:color w:val="000000"/>
                <w:sz w:val="22"/>
                <w:szCs w:val="22"/>
              </w:rPr>
            </w:pPr>
          </w:p>
        </w:tc>
      </w:tr>
      <w:tr w14:paraId="754887A0">
        <w:tblPrEx>
          <w:tblCellMar>
            <w:top w:w="0" w:type="dxa"/>
            <w:left w:w="108" w:type="dxa"/>
            <w:bottom w:w="0" w:type="dxa"/>
            <w:right w:w="108" w:type="dxa"/>
          </w:tblCellMar>
        </w:tblPrEx>
        <w:trPr>
          <w:trHeight w:val="270" w:hRule="atLeast"/>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E8035">
            <w:pPr>
              <w:rPr>
                <w:rFonts w:ascii="宋体" w:hAnsi="宋体" w:cs="宋体"/>
                <w:color w:val="000000"/>
                <w:sz w:val="22"/>
                <w:szCs w:val="22"/>
              </w:rPr>
            </w:pPr>
          </w:p>
        </w:tc>
        <w:tc>
          <w:tcPr>
            <w:tcW w:w="13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3016">
            <w:pPr>
              <w:rPr>
                <w:rFonts w:ascii="宋体" w:hAnsi="宋体" w:cs="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CDD5">
            <w:pPr>
              <w:widowControl/>
              <w:textAlignment w:val="center"/>
              <w:rPr>
                <w:rFonts w:ascii="宋体" w:hAnsi="宋体" w:cs="宋体"/>
                <w:sz w:val="22"/>
                <w:szCs w:val="22"/>
              </w:rPr>
            </w:pPr>
            <w:r>
              <w:rPr>
                <w:rFonts w:hint="eastAsia" w:ascii="宋体" w:hAnsi="宋体" w:cs="宋体"/>
                <w:kern w:val="0"/>
                <w:sz w:val="22"/>
                <w:szCs w:val="22"/>
              </w:rPr>
              <w:t>三等功</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806B1">
            <w:pPr>
              <w:rPr>
                <w:rFonts w:ascii="宋体" w:hAnsi="宋体" w:cs="宋体"/>
                <w:color w:val="000000"/>
                <w:sz w:val="22"/>
                <w:szCs w:val="22"/>
              </w:rPr>
            </w:pPr>
            <w:r>
              <w:rPr>
                <w:rFonts w:ascii="宋体" w:hAnsi="宋体" w:cs="宋体"/>
                <w:color w:val="000000"/>
                <w:sz w:val="22"/>
                <w:szCs w:val="22"/>
              </w:rPr>
              <w:t>8</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65AE">
            <w:pPr>
              <w:rPr>
                <w:rFonts w:ascii="宋体" w:hAnsi="宋体" w:cs="宋体"/>
                <w:color w:val="000000"/>
                <w:sz w:val="22"/>
                <w:szCs w:val="22"/>
              </w:rPr>
            </w:pPr>
          </w:p>
        </w:tc>
      </w:tr>
      <w:tr w14:paraId="68413670">
        <w:tblPrEx>
          <w:tblCellMar>
            <w:top w:w="0" w:type="dxa"/>
            <w:left w:w="108" w:type="dxa"/>
            <w:bottom w:w="0" w:type="dxa"/>
            <w:right w:w="108" w:type="dxa"/>
          </w:tblCellMar>
        </w:tblPrEx>
        <w:trPr>
          <w:trHeight w:val="270" w:hRule="atLeast"/>
        </w:trPr>
        <w:tc>
          <w:tcPr>
            <w:tcW w:w="2441" w:type="dxa"/>
            <w:gridSpan w:val="2"/>
            <w:vMerge w:val="restart"/>
            <w:tcBorders>
              <w:top w:val="single" w:color="000000" w:sz="4" w:space="0"/>
              <w:left w:val="single" w:color="000000" w:sz="4" w:space="0"/>
              <w:right w:val="single" w:color="000000" w:sz="4" w:space="0"/>
            </w:tcBorders>
            <w:shd w:val="clear" w:color="auto" w:fill="auto"/>
            <w:noWrap/>
            <w:vAlign w:val="center"/>
          </w:tcPr>
          <w:p w14:paraId="065DE1CC">
            <w:pPr>
              <w:widowControl/>
              <w:textAlignment w:val="center"/>
              <w:rPr>
                <w:rFonts w:ascii="宋体" w:hAnsi="宋体" w:cs="宋体"/>
                <w:color w:val="000000"/>
                <w:sz w:val="22"/>
                <w:szCs w:val="22"/>
              </w:rPr>
            </w:pPr>
            <w:r>
              <w:rPr>
                <w:rFonts w:hint="eastAsia" w:ascii="宋体" w:hAnsi="宋体" w:cs="宋体"/>
                <w:color w:val="000000"/>
                <w:kern w:val="0"/>
                <w:sz w:val="22"/>
                <w:szCs w:val="22"/>
              </w:rPr>
              <w:t>参加志愿服务</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152A0">
            <w:pPr>
              <w:widowControl/>
              <w:textAlignment w:val="center"/>
              <w:rPr>
                <w:rFonts w:ascii="宋体" w:hAnsi="宋体" w:cs="宋体"/>
                <w:sz w:val="22"/>
                <w:szCs w:val="22"/>
              </w:rPr>
            </w:pPr>
            <w:r>
              <w:rPr>
                <w:rFonts w:hint="eastAsia" w:ascii="宋体" w:hAnsi="宋体" w:cs="宋体"/>
                <w:kern w:val="0"/>
                <w:sz w:val="22"/>
                <w:szCs w:val="22"/>
              </w:rPr>
              <w:t>五星志愿者</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F0FD">
            <w:pPr>
              <w:rPr>
                <w:rFonts w:ascii="宋体" w:hAnsi="宋体" w:cs="宋体"/>
                <w:color w:val="000000"/>
                <w:sz w:val="22"/>
                <w:szCs w:val="22"/>
              </w:rPr>
            </w:pPr>
            <w:r>
              <w:rPr>
                <w:rFonts w:hint="eastAsia" w:ascii="宋体" w:hAnsi="宋体" w:cs="宋体"/>
                <w:color w:val="000000"/>
                <w:sz w:val="22"/>
                <w:szCs w:val="22"/>
              </w:rPr>
              <w:t>5</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1C6B">
            <w:pPr>
              <w:rPr>
                <w:rFonts w:ascii="宋体" w:hAnsi="宋体" w:cs="宋体"/>
                <w:color w:val="000000"/>
                <w:sz w:val="22"/>
                <w:szCs w:val="22"/>
              </w:rPr>
            </w:pPr>
            <w:r>
              <w:rPr>
                <w:rFonts w:hint="eastAsia" w:ascii="宋体" w:hAnsi="宋体" w:cs="宋体"/>
                <w:color w:val="000000"/>
                <w:sz w:val="22"/>
                <w:szCs w:val="22"/>
              </w:rPr>
              <w:t>1500小时</w:t>
            </w:r>
          </w:p>
        </w:tc>
      </w:tr>
      <w:tr w14:paraId="2A6F6424">
        <w:tblPrEx>
          <w:tblCellMar>
            <w:top w:w="0" w:type="dxa"/>
            <w:left w:w="108" w:type="dxa"/>
            <w:bottom w:w="0" w:type="dxa"/>
            <w:right w:w="108" w:type="dxa"/>
          </w:tblCellMar>
        </w:tblPrEx>
        <w:trPr>
          <w:trHeight w:val="270" w:hRule="atLeast"/>
        </w:trPr>
        <w:tc>
          <w:tcPr>
            <w:tcW w:w="2441" w:type="dxa"/>
            <w:gridSpan w:val="2"/>
            <w:vMerge w:val="continue"/>
            <w:tcBorders>
              <w:left w:val="single" w:color="000000" w:sz="4" w:space="0"/>
              <w:right w:val="single" w:color="000000" w:sz="4" w:space="0"/>
            </w:tcBorders>
            <w:shd w:val="clear" w:color="auto" w:fill="auto"/>
            <w:noWrap/>
            <w:vAlign w:val="center"/>
          </w:tcPr>
          <w:p w14:paraId="335FEB4C">
            <w:pPr>
              <w:rPr>
                <w:rFonts w:ascii="宋体" w:hAnsi="宋体" w:cs="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DC5A">
            <w:pPr>
              <w:widowControl/>
              <w:textAlignment w:val="center"/>
              <w:rPr>
                <w:rFonts w:ascii="宋体" w:hAnsi="宋体" w:cs="宋体"/>
                <w:sz w:val="22"/>
                <w:szCs w:val="22"/>
              </w:rPr>
            </w:pPr>
            <w:r>
              <w:rPr>
                <w:rFonts w:hint="eastAsia" w:ascii="宋体" w:hAnsi="宋体" w:cs="宋体"/>
                <w:kern w:val="0"/>
                <w:sz w:val="22"/>
                <w:szCs w:val="22"/>
              </w:rPr>
              <w:t>四星志愿者</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8627E">
            <w:pPr>
              <w:rPr>
                <w:rFonts w:ascii="宋体" w:hAnsi="宋体" w:cs="宋体"/>
                <w:color w:val="000000"/>
                <w:sz w:val="22"/>
                <w:szCs w:val="22"/>
              </w:rPr>
            </w:pPr>
            <w:r>
              <w:rPr>
                <w:rFonts w:hint="eastAsia" w:ascii="宋体" w:hAnsi="宋体" w:cs="宋体"/>
                <w:color w:val="000000"/>
                <w:sz w:val="22"/>
                <w:szCs w:val="22"/>
              </w:rPr>
              <w:t>4</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F427">
            <w:pPr>
              <w:rPr>
                <w:rFonts w:ascii="宋体" w:hAnsi="宋体" w:cs="宋体"/>
                <w:color w:val="000000"/>
                <w:sz w:val="22"/>
                <w:szCs w:val="22"/>
              </w:rPr>
            </w:pPr>
            <w:r>
              <w:rPr>
                <w:rFonts w:hint="eastAsia" w:ascii="宋体" w:hAnsi="宋体" w:cs="宋体"/>
                <w:color w:val="000000"/>
                <w:sz w:val="22"/>
                <w:szCs w:val="22"/>
              </w:rPr>
              <w:t>1000小时</w:t>
            </w:r>
          </w:p>
        </w:tc>
      </w:tr>
      <w:tr w14:paraId="7DBD4D6F">
        <w:tblPrEx>
          <w:tblCellMar>
            <w:top w:w="0" w:type="dxa"/>
            <w:left w:w="108" w:type="dxa"/>
            <w:bottom w:w="0" w:type="dxa"/>
            <w:right w:w="108" w:type="dxa"/>
          </w:tblCellMar>
        </w:tblPrEx>
        <w:trPr>
          <w:trHeight w:val="270" w:hRule="atLeast"/>
        </w:trPr>
        <w:tc>
          <w:tcPr>
            <w:tcW w:w="2441" w:type="dxa"/>
            <w:gridSpan w:val="2"/>
            <w:vMerge w:val="continue"/>
            <w:tcBorders>
              <w:left w:val="single" w:color="000000" w:sz="4" w:space="0"/>
              <w:right w:val="single" w:color="000000" w:sz="4" w:space="0"/>
            </w:tcBorders>
            <w:shd w:val="clear" w:color="auto" w:fill="auto"/>
            <w:noWrap/>
            <w:vAlign w:val="center"/>
          </w:tcPr>
          <w:p w14:paraId="1B273C6A">
            <w:pPr>
              <w:rPr>
                <w:rFonts w:ascii="宋体" w:hAnsi="宋体" w:cs="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13E8">
            <w:pPr>
              <w:widowControl/>
              <w:textAlignment w:val="center"/>
              <w:rPr>
                <w:rFonts w:ascii="宋体" w:hAnsi="宋体" w:cs="宋体"/>
                <w:sz w:val="22"/>
                <w:szCs w:val="22"/>
              </w:rPr>
            </w:pPr>
            <w:r>
              <w:rPr>
                <w:rFonts w:hint="eastAsia" w:ascii="宋体" w:hAnsi="宋体" w:cs="宋体"/>
                <w:kern w:val="0"/>
                <w:sz w:val="22"/>
                <w:szCs w:val="22"/>
              </w:rPr>
              <w:t>三星志愿者</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A082">
            <w:pPr>
              <w:rPr>
                <w:rFonts w:ascii="宋体" w:hAnsi="宋体" w:cs="宋体"/>
                <w:color w:val="000000"/>
                <w:sz w:val="22"/>
                <w:szCs w:val="22"/>
              </w:rPr>
            </w:pPr>
            <w:r>
              <w:rPr>
                <w:rFonts w:hint="eastAsia" w:ascii="宋体" w:hAnsi="宋体" w:cs="宋体"/>
                <w:color w:val="000000"/>
                <w:sz w:val="22"/>
                <w:szCs w:val="22"/>
              </w:rPr>
              <w:t>3</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D53A">
            <w:pPr>
              <w:rPr>
                <w:rFonts w:ascii="宋体" w:hAnsi="宋体" w:cs="宋体"/>
                <w:color w:val="000000"/>
                <w:sz w:val="22"/>
                <w:szCs w:val="22"/>
              </w:rPr>
            </w:pPr>
            <w:r>
              <w:rPr>
                <w:rFonts w:hint="eastAsia" w:ascii="宋体" w:hAnsi="宋体" w:cs="宋体"/>
                <w:color w:val="000000"/>
                <w:sz w:val="22"/>
                <w:szCs w:val="22"/>
              </w:rPr>
              <w:t>600小时</w:t>
            </w:r>
          </w:p>
        </w:tc>
      </w:tr>
      <w:tr w14:paraId="04DD2810">
        <w:tblPrEx>
          <w:tblCellMar>
            <w:top w:w="0" w:type="dxa"/>
            <w:left w:w="108" w:type="dxa"/>
            <w:bottom w:w="0" w:type="dxa"/>
            <w:right w:w="108" w:type="dxa"/>
          </w:tblCellMar>
        </w:tblPrEx>
        <w:trPr>
          <w:trHeight w:val="270" w:hRule="atLeast"/>
        </w:trPr>
        <w:tc>
          <w:tcPr>
            <w:tcW w:w="2441" w:type="dxa"/>
            <w:gridSpan w:val="2"/>
            <w:vMerge w:val="continue"/>
            <w:tcBorders>
              <w:left w:val="single" w:color="000000" w:sz="4" w:space="0"/>
              <w:right w:val="single" w:color="000000" w:sz="4" w:space="0"/>
            </w:tcBorders>
            <w:shd w:val="clear" w:color="auto" w:fill="auto"/>
            <w:noWrap/>
            <w:vAlign w:val="center"/>
          </w:tcPr>
          <w:p w14:paraId="445A6600">
            <w:pPr>
              <w:widowControl/>
              <w:textAlignment w:val="center"/>
              <w:rPr>
                <w:rFonts w:ascii="宋体" w:hAnsi="宋体" w:cs="宋体"/>
                <w:color w:val="00000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F7FB">
            <w:pPr>
              <w:rPr>
                <w:rFonts w:ascii="宋体" w:hAnsi="宋体" w:cs="宋体"/>
                <w:sz w:val="22"/>
                <w:szCs w:val="22"/>
              </w:rPr>
            </w:pPr>
            <w:r>
              <w:rPr>
                <w:rFonts w:hint="eastAsia" w:ascii="宋体" w:hAnsi="宋体" w:cs="宋体"/>
                <w:sz w:val="22"/>
                <w:szCs w:val="22"/>
              </w:rPr>
              <w:t>二星志愿者</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440A">
            <w:pPr>
              <w:rPr>
                <w:rFonts w:ascii="宋体" w:hAnsi="宋体" w:cs="宋体"/>
                <w:color w:val="000000"/>
                <w:sz w:val="22"/>
                <w:szCs w:val="22"/>
              </w:rPr>
            </w:pPr>
            <w:r>
              <w:rPr>
                <w:rFonts w:hint="eastAsia" w:ascii="宋体" w:hAnsi="宋体" w:cs="宋体"/>
                <w:color w:val="000000"/>
                <w:sz w:val="22"/>
                <w:szCs w:val="22"/>
              </w:rPr>
              <w:t>2</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45D65">
            <w:pPr>
              <w:rPr>
                <w:rFonts w:ascii="宋体" w:hAnsi="宋体" w:cs="宋体"/>
                <w:color w:val="000000"/>
                <w:sz w:val="22"/>
                <w:szCs w:val="22"/>
              </w:rPr>
            </w:pPr>
            <w:r>
              <w:rPr>
                <w:rFonts w:hint="eastAsia" w:ascii="宋体" w:hAnsi="宋体" w:cs="宋体"/>
                <w:color w:val="000000"/>
                <w:sz w:val="22"/>
                <w:szCs w:val="22"/>
              </w:rPr>
              <w:t>300小时</w:t>
            </w:r>
          </w:p>
        </w:tc>
      </w:tr>
      <w:tr w14:paraId="6E5D7DFC">
        <w:tblPrEx>
          <w:tblCellMar>
            <w:top w:w="0" w:type="dxa"/>
            <w:left w:w="108" w:type="dxa"/>
            <w:bottom w:w="0" w:type="dxa"/>
            <w:right w:w="108" w:type="dxa"/>
          </w:tblCellMar>
        </w:tblPrEx>
        <w:trPr>
          <w:trHeight w:val="270" w:hRule="atLeast"/>
        </w:trPr>
        <w:tc>
          <w:tcPr>
            <w:tcW w:w="2441" w:type="dxa"/>
            <w:gridSpan w:val="2"/>
            <w:vMerge w:val="continue"/>
            <w:tcBorders>
              <w:left w:val="single" w:color="000000" w:sz="4" w:space="0"/>
              <w:bottom w:val="single" w:color="000000" w:sz="4" w:space="0"/>
              <w:right w:val="single" w:color="000000" w:sz="4" w:space="0"/>
            </w:tcBorders>
            <w:shd w:val="clear" w:color="auto" w:fill="auto"/>
            <w:noWrap/>
            <w:vAlign w:val="center"/>
          </w:tcPr>
          <w:p w14:paraId="284BCC79">
            <w:pPr>
              <w:widowControl/>
              <w:textAlignment w:val="center"/>
              <w:rPr>
                <w:rFonts w:ascii="宋体" w:hAnsi="宋体" w:cs="宋体"/>
                <w:color w:val="000000"/>
                <w:kern w:val="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3997">
            <w:pPr>
              <w:rPr>
                <w:rFonts w:ascii="宋体" w:hAnsi="宋体" w:cs="宋体"/>
                <w:sz w:val="22"/>
                <w:szCs w:val="22"/>
              </w:rPr>
            </w:pPr>
            <w:r>
              <w:rPr>
                <w:rFonts w:hint="eastAsia" w:ascii="宋体" w:hAnsi="宋体" w:cs="宋体"/>
                <w:sz w:val="22"/>
                <w:szCs w:val="22"/>
              </w:rPr>
              <w:t>一星志愿者</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BE3A">
            <w:pPr>
              <w:rPr>
                <w:rFonts w:ascii="宋体" w:hAnsi="宋体" w:cs="宋体"/>
                <w:color w:val="000000"/>
                <w:sz w:val="22"/>
                <w:szCs w:val="22"/>
              </w:rPr>
            </w:pPr>
            <w:r>
              <w:rPr>
                <w:rFonts w:hint="eastAsia" w:ascii="宋体" w:hAnsi="宋体" w:cs="宋体"/>
                <w:color w:val="000000"/>
                <w:sz w:val="22"/>
                <w:szCs w:val="22"/>
              </w:rPr>
              <w:t>1</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63E4">
            <w:pPr>
              <w:rPr>
                <w:rFonts w:ascii="宋体" w:hAnsi="宋体" w:cs="宋体"/>
                <w:color w:val="000000"/>
                <w:sz w:val="22"/>
                <w:szCs w:val="22"/>
              </w:rPr>
            </w:pPr>
            <w:r>
              <w:rPr>
                <w:rFonts w:hint="eastAsia" w:ascii="宋体" w:hAnsi="宋体" w:cs="宋体"/>
                <w:color w:val="000000"/>
                <w:sz w:val="22"/>
                <w:szCs w:val="22"/>
              </w:rPr>
              <w:t>100小时</w:t>
            </w:r>
          </w:p>
        </w:tc>
      </w:tr>
      <w:tr w14:paraId="555E89E5">
        <w:tblPrEx>
          <w:tblCellMar>
            <w:top w:w="0" w:type="dxa"/>
            <w:left w:w="108" w:type="dxa"/>
            <w:bottom w:w="0" w:type="dxa"/>
            <w:right w:w="108" w:type="dxa"/>
          </w:tblCellMar>
        </w:tblPrEx>
        <w:trPr>
          <w:trHeight w:val="270" w:hRule="atLeast"/>
        </w:trPr>
        <w:tc>
          <w:tcPr>
            <w:tcW w:w="24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8F581">
            <w:pPr>
              <w:widowControl/>
              <w:textAlignment w:val="center"/>
              <w:rPr>
                <w:rFonts w:ascii="宋体" w:hAnsi="宋体" w:cs="宋体"/>
                <w:color w:val="000000"/>
                <w:sz w:val="22"/>
                <w:szCs w:val="22"/>
              </w:rPr>
            </w:pPr>
            <w:r>
              <w:rPr>
                <w:rFonts w:hint="eastAsia" w:ascii="宋体" w:hAnsi="宋体" w:cs="宋体"/>
                <w:color w:val="000000"/>
                <w:kern w:val="0"/>
                <w:sz w:val="22"/>
                <w:szCs w:val="22"/>
              </w:rPr>
              <w:t>到国际组织实习</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6260">
            <w:pPr>
              <w:rPr>
                <w:rFonts w:ascii="宋体" w:hAnsi="宋体" w:cs="宋体"/>
                <w:color w:val="000000"/>
                <w:sz w:val="22"/>
                <w:szCs w:val="22"/>
              </w:rPr>
            </w:pPr>
            <w:r>
              <w:rPr>
                <w:rFonts w:hint="eastAsia" w:ascii="宋体" w:hAnsi="宋体" w:cs="宋体"/>
                <w:sz w:val="22"/>
                <w:szCs w:val="22"/>
              </w:rPr>
              <w:t>有相关鉴定材料，实习期不少于</w:t>
            </w:r>
            <w:r>
              <w:rPr>
                <w:rFonts w:ascii="宋体" w:hAnsi="宋体" w:cs="宋体"/>
                <w:sz w:val="22"/>
                <w:szCs w:val="22"/>
              </w:rPr>
              <w:t>3个月</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D9ED">
            <w:pPr>
              <w:rPr>
                <w:rFonts w:ascii="宋体" w:hAnsi="宋体" w:cs="宋体"/>
                <w:color w:val="000000"/>
                <w:sz w:val="22"/>
                <w:szCs w:val="22"/>
              </w:rPr>
            </w:pPr>
            <w:r>
              <w:rPr>
                <w:rFonts w:ascii="宋体" w:hAnsi="宋体" w:cs="宋体"/>
                <w:color w:val="000000"/>
                <w:sz w:val="22"/>
                <w:szCs w:val="22"/>
              </w:rPr>
              <w:t>2</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AB8D">
            <w:pPr>
              <w:rPr>
                <w:rFonts w:ascii="宋体" w:hAnsi="宋体" w:cs="宋体"/>
                <w:color w:val="000000"/>
                <w:sz w:val="22"/>
                <w:szCs w:val="22"/>
              </w:rPr>
            </w:pPr>
          </w:p>
        </w:tc>
      </w:tr>
      <w:tr w14:paraId="52DF9D5C">
        <w:tblPrEx>
          <w:tblCellMar>
            <w:top w:w="0" w:type="dxa"/>
            <w:left w:w="108" w:type="dxa"/>
            <w:bottom w:w="0" w:type="dxa"/>
            <w:right w:w="108" w:type="dxa"/>
          </w:tblCellMar>
        </w:tblPrEx>
        <w:trPr>
          <w:trHeight w:val="23" w:hRule="atLeast"/>
        </w:trPr>
        <w:tc>
          <w:tcPr>
            <w:tcW w:w="2441" w:type="dxa"/>
            <w:gridSpan w:val="2"/>
            <w:vMerge w:val="restart"/>
            <w:tcBorders>
              <w:top w:val="single" w:color="000000" w:sz="4" w:space="0"/>
              <w:left w:val="single" w:color="000000" w:sz="4" w:space="0"/>
              <w:right w:val="single" w:color="000000" w:sz="4" w:space="0"/>
            </w:tcBorders>
            <w:shd w:val="clear" w:color="auto" w:fill="auto"/>
            <w:noWrap/>
            <w:vAlign w:val="center"/>
          </w:tcPr>
          <w:p w14:paraId="2E6D356A">
            <w:pPr>
              <w:widowControl/>
              <w:textAlignment w:val="center"/>
              <w:rPr>
                <w:rFonts w:ascii="宋体" w:hAnsi="宋体" w:cs="宋体"/>
                <w:color w:val="000000"/>
                <w:kern w:val="0"/>
                <w:sz w:val="22"/>
                <w:szCs w:val="22"/>
              </w:rPr>
            </w:pPr>
            <w:r>
              <w:rPr>
                <w:rFonts w:hint="eastAsia" w:ascii="宋体" w:hAnsi="宋体" w:cs="宋体"/>
                <w:color w:val="000000"/>
                <w:kern w:val="0"/>
                <w:sz w:val="22"/>
                <w:szCs w:val="22"/>
              </w:rPr>
              <w:t>荣誉</w:t>
            </w: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tcPr>
          <w:p w14:paraId="319E308B">
            <w:pPr>
              <w:rPr>
                <w:rFonts w:ascii="宋体" w:hAnsi="宋体" w:cs="宋体"/>
                <w:sz w:val="22"/>
                <w:szCs w:val="22"/>
              </w:rPr>
            </w:pPr>
            <w:r>
              <w:rPr>
                <w:rFonts w:hint="eastAsia" w:ascii="宋体" w:hAnsi="宋体" w:cs="宋体"/>
                <w:sz w:val="22"/>
                <w:szCs w:val="22"/>
              </w:rPr>
              <w:t>国家荣誉</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09B6">
            <w:pPr>
              <w:rPr>
                <w:rFonts w:ascii="宋体" w:hAnsi="宋体" w:cs="宋体"/>
                <w:color w:val="000000"/>
                <w:sz w:val="22"/>
                <w:szCs w:val="22"/>
              </w:rPr>
            </w:pPr>
            <w:r>
              <w:rPr>
                <w:rFonts w:hint="eastAsia" w:ascii="宋体" w:hAnsi="宋体" w:cs="宋体"/>
                <w:color w:val="000000"/>
                <w:sz w:val="22"/>
                <w:szCs w:val="22"/>
              </w:rPr>
              <w:t>8</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tcPr>
          <w:p w14:paraId="270BFB65">
            <w:pPr>
              <w:rPr>
                <w:rFonts w:ascii="宋体" w:hAnsi="宋体" w:cs="宋体"/>
                <w:color w:val="000000"/>
                <w:sz w:val="22"/>
                <w:szCs w:val="22"/>
              </w:rPr>
            </w:pPr>
          </w:p>
        </w:tc>
      </w:tr>
      <w:tr w14:paraId="230A5C40">
        <w:tblPrEx>
          <w:tblCellMar>
            <w:top w:w="0" w:type="dxa"/>
            <w:left w:w="108" w:type="dxa"/>
            <w:bottom w:w="0" w:type="dxa"/>
            <w:right w:w="108" w:type="dxa"/>
          </w:tblCellMar>
        </w:tblPrEx>
        <w:trPr>
          <w:trHeight w:val="23" w:hRule="atLeast"/>
        </w:trPr>
        <w:tc>
          <w:tcPr>
            <w:tcW w:w="2441" w:type="dxa"/>
            <w:gridSpan w:val="2"/>
            <w:vMerge w:val="continue"/>
            <w:tcBorders>
              <w:left w:val="single" w:color="000000" w:sz="4" w:space="0"/>
              <w:right w:val="single" w:color="000000" w:sz="4" w:space="0"/>
            </w:tcBorders>
            <w:shd w:val="clear" w:color="auto" w:fill="auto"/>
            <w:noWrap/>
            <w:vAlign w:val="center"/>
          </w:tcPr>
          <w:p w14:paraId="2CE5CC49">
            <w:pPr>
              <w:widowControl/>
              <w:textAlignment w:val="center"/>
              <w:rPr>
                <w:rFonts w:ascii="宋体" w:hAnsi="宋体" w:cs="宋体"/>
                <w:color w:val="000000"/>
                <w:kern w:val="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2170">
            <w:pPr>
              <w:rPr>
                <w:rFonts w:ascii="宋体" w:hAnsi="宋体" w:cs="宋体"/>
                <w:sz w:val="22"/>
                <w:szCs w:val="22"/>
              </w:rPr>
            </w:pPr>
            <w:r>
              <w:rPr>
                <w:rFonts w:hint="eastAsia" w:ascii="宋体" w:hAnsi="宋体" w:cs="宋体"/>
                <w:sz w:val="22"/>
                <w:szCs w:val="22"/>
              </w:rPr>
              <w:t>省部（北京市）级荣誉</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3B2E">
            <w:pPr>
              <w:rPr>
                <w:rFonts w:ascii="宋体" w:hAnsi="宋体" w:cs="宋体"/>
                <w:color w:val="000000"/>
                <w:sz w:val="22"/>
                <w:szCs w:val="22"/>
              </w:rPr>
            </w:pPr>
            <w:r>
              <w:rPr>
                <w:rFonts w:hint="eastAsia" w:ascii="宋体" w:hAnsi="宋体" w:cs="宋体"/>
                <w:color w:val="000000"/>
                <w:sz w:val="22"/>
                <w:szCs w:val="22"/>
              </w:rPr>
              <w:t>4</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tcPr>
          <w:p w14:paraId="173D7782">
            <w:pPr>
              <w:rPr>
                <w:rFonts w:ascii="宋体" w:hAnsi="宋体" w:cs="宋体"/>
                <w:color w:val="000000"/>
                <w:sz w:val="22"/>
                <w:szCs w:val="22"/>
              </w:rPr>
            </w:pPr>
          </w:p>
        </w:tc>
      </w:tr>
      <w:tr w14:paraId="1ED25F68">
        <w:tblPrEx>
          <w:tblCellMar>
            <w:top w:w="0" w:type="dxa"/>
            <w:left w:w="108" w:type="dxa"/>
            <w:bottom w:w="0" w:type="dxa"/>
            <w:right w:w="108" w:type="dxa"/>
          </w:tblCellMar>
        </w:tblPrEx>
        <w:trPr>
          <w:trHeight w:val="23" w:hRule="atLeast"/>
        </w:trPr>
        <w:tc>
          <w:tcPr>
            <w:tcW w:w="2441" w:type="dxa"/>
            <w:gridSpan w:val="2"/>
            <w:vMerge w:val="continue"/>
            <w:tcBorders>
              <w:left w:val="single" w:color="000000" w:sz="4" w:space="0"/>
              <w:right w:val="single" w:color="000000" w:sz="4" w:space="0"/>
            </w:tcBorders>
            <w:shd w:val="clear" w:color="auto" w:fill="auto"/>
            <w:noWrap/>
            <w:vAlign w:val="center"/>
          </w:tcPr>
          <w:p w14:paraId="1856693E">
            <w:pPr>
              <w:widowControl/>
              <w:textAlignment w:val="center"/>
              <w:rPr>
                <w:rFonts w:ascii="宋体" w:hAnsi="宋体" w:cs="宋体"/>
                <w:color w:val="000000"/>
                <w:kern w:val="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CA9C">
            <w:pPr>
              <w:rPr>
                <w:rFonts w:ascii="宋体" w:hAnsi="宋体" w:cs="宋体"/>
                <w:sz w:val="22"/>
                <w:szCs w:val="22"/>
              </w:rPr>
            </w:pPr>
            <w:r>
              <w:rPr>
                <w:rFonts w:hint="eastAsia" w:ascii="宋体" w:hAnsi="宋体" w:cs="宋体"/>
                <w:sz w:val="22"/>
                <w:szCs w:val="22"/>
              </w:rPr>
              <w:t>校级荣誉</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05383">
            <w:pPr>
              <w:rPr>
                <w:rFonts w:ascii="宋体" w:hAnsi="宋体" w:cs="宋体"/>
                <w:color w:val="000000"/>
                <w:sz w:val="22"/>
                <w:szCs w:val="22"/>
              </w:rPr>
            </w:pPr>
            <w:r>
              <w:rPr>
                <w:rFonts w:hint="eastAsia" w:ascii="宋体" w:hAnsi="宋体" w:cs="宋体"/>
                <w:color w:val="000000"/>
                <w:sz w:val="22"/>
                <w:szCs w:val="22"/>
              </w:rPr>
              <w:t>1</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tcPr>
          <w:p w14:paraId="71455510">
            <w:pPr>
              <w:rPr>
                <w:rFonts w:ascii="宋体" w:hAnsi="宋体" w:cs="宋体"/>
                <w:color w:val="000000"/>
                <w:sz w:val="22"/>
                <w:szCs w:val="22"/>
              </w:rPr>
            </w:pPr>
          </w:p>
        </w:tc>
      </w:tr>
      <w:tr w14:paraId="63FA1216">
        <w:tblPrEx>
          <w:tblCellMar>
            <w:top w:w="0" w:type="dxa"/>
            <w:left w:w="108" w:type="dxa"/>
            <w:bottom w:w="0" w:type="dxa"/>
            <w:right w:w="108" w:type="dxa"/>
          </w:tblCellMar>
        </w:tblPrEx>
        <w:trPr>
          <w:trHeight w:val="23" w:hRule="atLeast"/>
        </w:trPr>
        <w:tc>
          <w:tcPr>
            <w:tcW w:w="2441" w:type="dxa"/>
            <w:gridSpan w:val="2"/>
            <w:vMerge w:val="continue"/>
            <w:tcBorders>
              <w:left w:val="single" w:color="000000" w:sz="4" w:space="0"/>
              <w:bottom w:val="single" w:color="000000" w:sz="4" w:space="0"/>
              <w:right w:val="single" w:color="000000" w:sz="4" w:space="0"/>
            </w:tcBorders>
            <w:shd w:val="clear" w:color="auto" w:fill="auto"/>
            <w:noWrap/>
            <w:vAlign w:val="center"/>
          </w:tcPr>
          <w:p w14:paraId="3E5618E7">
            <w:pPr>
              <w:widowControl/>
              <w:textAlignment w:val="center"/>
              <w:rPr>
                <w:rFonts w:ascii="宋体" w:hAnsi="宋体" w:cs="宋体"/>
                <w:color w:val="000000"/>
                <w:kern w:val="0"/>
                <w:sz w:val="22"/>
                <w:szCs w:val="22"/>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058E">
            <w:pPr>
              <w:rPr>
                <w:rFonts w:ascii="宋体" w:hAnsi="宋体" w:cs="宋体"/>
                <w:sz w:val="22"/>
                <w:szCs w:val="22"/>
              </w:rPr>
            </w:pPr>
            <w:r>
              <w:rPr>
                <w:rFonts w:hint="eastAsia" w:ascii="宋体" w:hAnsi="宋体" w:cs="宋体"/>
                <w:sz w:val="22"/>
                <w:szCs w:val="22"/>
              </w:rPr>
              <w:t>院级荣誉</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881F">
            <w:pPr>
              <w:rPr>
                <w:rFonts w:ascii="宋体" w:hAnsi="宋体" w:cs="宋体"/>
                <w:color w:val="000000"/>
                <w:sz w:val="22"/>
                <w:szCs w:val="22"/>
              </w:rPr>
            </w:pPr>
            <w:r>
              <w:rPr>
                <w:rFonts w:hint="eastAsia" w:ascii="宋体" w:hAnsi="宋体" w:cs="宋体"/>
                <w:color w:val="000000"/>
                <w:sz w:val="22"/>
                <w:szCs w:val="22"/>
              </w:rPr>
              <w:t>0.5</w:t>
            </w:r>
          </w:p>
        </w:tc>
        <w:tc>
          <w:tcPr>
            <w:tcW w:w="2289" w:type="dxa"/>
            <w:tcBorders>
              <w:top w:val="single" w:color="000000" w:sz="4" w:space="0"/>
              <w:left w:val="single" w:color="000000" w:sz="4" w:space="0"/>
              <w:bottom w:val="single" w:color="000000" w:sz="4" w:space="0"/>
              <w:right w:val="single" w:color="000000" w:sz="4" w:space="0"/>
            </w:tcBorders>
            <w:shd w:val="clear" w:color="auto" w:fill="auto"/>
            <w:noWrap/>
          </w:tcPr>
          <w:p w14:paraId="4D64EA22">
            <w:pPr>
              <w:rPr>
                <w:rFonts w:ascii="宋体" w:hAnsi="宋体" w:cs="宋体"/>
                <w:color w:val="000000"/>
                <w:sz w:val="22"/>
                <w:szCs w:val="22"/>
              </w:rPr>
            </w:pPr>
          </w:p>
        </w:tc>
      </w:tr>
    </w:tbl>
    <w:p w14:paraId="1BC3E908">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三）对于学生的科研成果（论文、国家发明专利）、竞赛获奖奖项，学院组织专家审核小组（一般不少于5人）进行审核鉴定。其中，对科研论文、专利等进行公开答辩，对创新质量和个人贡献进行质询。对于社会质疑会较多的赛事、刊物，要从严把握。专家审核小组及每位成员给出明确审核鉴定意见并签字存档。答辩全程录音录像，答辩结果公开公示。</w:t>
      </w:r>
    </w:p>
    <w:p w14:paraId="6F04F470">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（四）综合成绩具体计算方法如下。</w:t>
      </w:r>
    </w:p>
    <w:p w14:paraId="0E08CA0B">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综合成绩=必修课加权平均成绩+素质评价成绩</w:t>
      </w:r>
    </w:p>
    <w:p w14:paraId="5FD65B4A">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其中，必修课加权平均成绩=∑已修必修课程成绩*学分/∑已修必修课程学分；</w:t>
      </w:r>
    </w:p>
    <w:p w14:paraId="58B995C3">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素质评价成绩=各项评价指标获得分数之和。</w:t>
      </w:r>
    </w:p>
    <w:p w14:paraId="08C563DB">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素质评价中，学生在某一指标（除荣誉得分）若有多项加分情况时，原则上只取得分最高的一项，不累加计算。说明如下：</w:t>
      </w:r>
    </w:p>
    <w:p w14:paraId="71F3C5EA">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1.科研成果最高分为6分，学生拥有获批国家发明专利，且发表高水平专业学术论文，根据类别对应分值，只取最高级别的一项计入科研成果分数，专利和论文分值不做累加；学生发表多篇高水平专业学术论文，根据论文级别对应分值，只取最高级别的一项的计入科研成果分数，多篇论文不做累加。</w:t>
      </w:r>
    </w:p>
    <w:p w14:paraId="794946AC">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2.学科竞赛最高分为8分，学生获得多个国家级三等奖以上的奖项，根据奖项级别对应分值，只取所有奖项中级别最高的一项计入学科竞赛分数，多个奖项不做累加。</w:t>
      </w:r>
    </w:p>
    <w:p w14:paraId="334D0E78">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3.参军入伍服兵役获得三等功以上最高分为15分，学生获得多个功劳奖励，只取所有功劳中级别最高的一项计入军功分数，多个功劳不做累加。</w:t>
      </w:r>
    </w:p>
    <w:p w14:paraId="58590A58">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4.参加志愿服务最高分为5分，学生获得多种星级志愿者称号，只取级别最高的一项计入志愿服务分数，多个星级评价不做累加。</w:t>
      </w:r>
    </w:p>
    <w:p w14:paraId="0A2B7F02">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5.到国际组织实习最高分为2分，学生参与多种多次国际组织实习，只计入一项，不做累加。</w:t>
      </w:r>
    </w:p>
    <w:p w14:paraId="6F30A622">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6.荣誉得分中，学生多项荣誉可做累加，不设上限。</w:t>
      </w:r>
    </w:p>
    <w:p w14:paraId="3A3F8EF8">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根据学校要求，不得为仅符合单一或部分遴选指标的学生单列计划或破格推荐。</w:t>
      </w:r>
    </w:p>
    <w:p w14:paraId="000664D3">
      <w:pPr>
        <w:widowControl/>
        <w:shd w:val="clear" w:color="auto" w:fill="FFFFFF"/>
        <w:spacing w:line="555" w:lineRule="atLeast"/>
        <w:jc w:val="center"/>
        <w:rPr>
          <w:rFonts w:ascii="黑体" w:hAnsi="黑体" w:eastAsia="黑体" w:cs="宋体"/>
          <w:color w:val="333333"/>
          <w:kern w:val="0"/>
          <w:sz w:val="32"/>
          <w:szCs w:val="32"/>
        </w:rPr>
      </w:pPr>
      <w:r>
        <w:rPr>
          <w:rFonts w:hint="eastAsia" w:ascii="黑体" w:hAnsi="黑体" w:eastAsia="黑体" w:cs="宋体"/>
          <w:color w:val="333333"/>
          <w:kern w:val="0"/>
          <w:sz w:val="32"/>
          <w:szCs w:val="32"/>
        </w:rPr>
        <w:t>第四章  推免工作程序</w:t>
      </w:r>
    </w:p>
    <w:p w14:paraId="613DC55E">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第八条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遴选工作按以下程序进行：</w:t>
      </w:r>
    </w:p>
    <w:p w14:paraId="2E3AB380">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（一）学院根据有关文件精神，成立遴选工作小组，制定本学院遴选工作实施细则，在学院内予以公布；</w:t>
      </w:r>
    </w:p>
    <w:p w14:paraId="2FE1A6F0">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（二）符合条件的学生在规定期限内向学院提交《北京信息科技大学推荐优秀应届本科毕业学生干部免试攻读研究生资格申请表》，并提交有关符合素质评价加分项目的证明材料电子版及复印件。</w:t>
      </w:r>
    </w:p>
    <w:p w14:paraId="002F8530">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（三）遴选工作小组遵循公开、公正、公平的原则，对提出申请的学生根据遴选条件进行审核，对符合条件的学生分专业按照综合成绩由高至低进行排序，根据学校遴选条件，确定推免建议人选名单。</w:t>
      </w:r>
    </w:p>
    <w:p w14:paraId="71F9A80A">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（四）拟推荐名单在学院网站、信息栏公示，公示期间名单将不能修改。名单如有变动，将对变动部分做出说明，并对变动内容重新进行公示。</w:t>
      </w:r>
    </w:p>
    <w:p w14:paraId="7A3C99CB">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五）《2026年推荐优秀应届本科毕业学生干部免试攻读硕士学位研究生遴选汇总表》、《北京信息科技大学推荐优秀应届本科毕业学生干部免试攻读研究生资格申请表》,成绩单及有关成果和奖励证明的复印件。以上材料均需提供纸质版和电子版，相关负责人签字并加盖学院公章，报学工部。</w:t>
      </w:r>
    </w:p>
    <w:p w14:paraId="7903F4D2">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（六）学校学生工作招聘领导小组对学院推荐人选进行资格复审，提出优秀应届本科毕业学生干部免试攻读研究生建议人选名单，报学校推免生遴选工作领导小组审定。</w:t>
      </w:r>
    </w:p>
    <w:p w14:paraId="21719AFF">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（七）校遴选领导小组审议确定优秀应届本科毕业学生干部免试攻读研究生学生名单，并在学生处网站和学校办公系统进行公示。</w:t>
      </w:r>
    </w:p>
    <w:p w14:paraId="72D3EF0E">
      <w:pPr>
        <w:widowControl/>
        <w:shd w:val="clear" w:color="auto" w:fill="FFFFFF"/>
        <w:spacing w:line="555" w:lineRule="atLeast"/>
        <w:jc w:val="center"/>
        <w:rPr>
          <w:rFonts w:ascii="黑体" w:hAnsi="黑体" w:eastAsia="黑体" w:cs="宋体"/>
          <w:color w:val="333333"/>
          <w:kern w:val="0"/>
          <w:sz w:val="32"/>
          <w:szCs w:val="32"/>
        </w:rPr>
      </w:pPr>
      <w:r>
        <w:rPr>
          <w:rFonts w:hint="eastAsia" w:ascii="黑体" w:hAnsi="黑体" w:eastAsia="黑体" w:cs="宋体"/>
          <w:color w:val="333333"/>
          <w:kern w:val="0"/>
          <w:sz w:val="32"/>
          <w:szCs w:val="32"/>
        </w:rPr>
        <w:t>第五章  遴选工作要求</w:t>
      </w:r>
    </w:p>
    <w:p w14:paraId="7BB7A440">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第九条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遴选工作遵照国家有关规定，实行报备和回避制度。有直系亲属或利益相关者参加当年遴选的工作人员，应当主动报备并申请回避，不得参与当年的遴选工作。</w:t>
      </w:r>
    </w:p>
    <w:p w14:paraId="060D62C7">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第十条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学院的遴选工作全程接受纪检与监察部门监督，确保推免工作公开、公平、公正地进行。</w:t>
      </w:r>
    </w:p>
    <w:p w14:paraId="2D438908">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第十一条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对于已获推免资格的学生如在第四学年有下列情形之一的，取消其研究生预录取资格：</w:t>
      </w:r>
    </w:p>
    <w:p w14:paraId="1DB71051">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（一）必修课程考试及考核出现不及格的；</w:t>
      </w:r>
    </w:p>
    <w:p w14:paraId="776E4784">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（二）因违纪受到处分的；</w:t>
      </w:r>
    </w:p>
    <w:p w14:paraId="26C48632">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（三）毕业时未取得本科毕业证书或学士学位证书的。</w:t>
      </w:r>
    </w:p>
    <w:p w14:paraId="6D0F5A9E">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第十二条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对于在推免过程中弄虚作假的，一经查实取消推免生资格，并给予纪律处分。</w:t>
      </w:r>
    </w:p>
    <w:p w14:paraId="322E0E49">
      <w:pPr>
        <w:widowControl/>
        <w:shd w:val="clear" w:color="auto" w:fill="FFFFFF"/>
        <w:spacing w:line="555" w:lineRule="atLeast"/>
        <w:rPr>
          <w:rFonts w:ascii="黑体" w:hAnsi="黑体" w:eastAsia="黑体" w:cs="宋体"/>
          <w:color w:val="333333"/>
          <w:kern w:val="0"/>
          <w:sz w:val="32"/>
          <w:szCs w:val="32"/>
        </w:rPr>
      </w:pPr>
      <w:r>
        <w:rPr>
          <w:rFonts w:hint="eastAsia" w:ascii="黑体" w:hAnsi="黑体" w:eastAsia="黑体" w:cs="宋体"/>
          <w:color w:val="333333"/>
          <w:kern w:val="0"/>
          <w:sz w:val="32"/>
          <w:szCs w:val="32"/>
        </w:rPr>
        <w:t>第六章  附则</w:t>
      </w:r>
    </w:p>
    <w:p w14:paraId="5955840B">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第十三条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本办法仅适用于2022级学生。</w:t>
      </w:r>
    </w:p>
    <w:p w14:paraId="7B519814">
      <w:pPr>
        <w:widowControl/>
        <w:spacing w:line="560" w:lineRule="exact"/>
        <w:ind w:firstLine="640" w:firstLineChars="200"/>
        <w:rPr>
          <w:rFonts w:ascii="仿宋" w:hAnsi="仿宋" w:eastAsia="仿宋" w:cs="宋体"/>
          <w:color w:val="333333"/>
          <w:kern w:val="0"/>
          <w:sz w:val="32"/>
          <w:szCs w:val="32"/>
        </w:rPr>
      </w:pPr>
      <w:r>
        <w:rPr>
          <w:rFonts w:hint="eastAsia" w:ascii="仿宋" w:hAnsi="仿宋" w:eastAsia="仿宋" w:cs="宋体"/>
          <w:color w:val="333333"/>
          <w:kern w:val="0"/>
          <w:sz w:val="32"/>
          <w:szCs w:val="32"/>
        </w:rPr>
        <w:t>第十四条</w:t>
      </w:r>
      <w:r>
        <w:rPr>
          <w:rFonts w:ascii="仿宋" w:hAnsi="仿宋" w:eastAsia="仿宋" w:cs="宋体"/>
          <w:color w:val="333333"/>
          <w:kern w:val="0"/>
          <w:sz w:val="32"/>
          <w:szCs w:val="32"/>
        </w:rPr>
        <w:t xml:space="preserve">  </w:t>
      </w:r>
      <w:r>
        <w:rPr>
          <w:rFonts w:hint="eastAsia" w:ascii="仿宋" w:hAnsi="仿宋" w:eastAsia="仿宋" w:cs="宋体"/>
          <w:color w:val="333333"/>
          <w:kern w:val="0"/>
          <w:sz w:val="32"/>
          <w:szCs w:val="32"/>
        </w:rPr>
        <w:t>本办法由信息与通信工程学院学生工作办公室负责解释，未尽事宜由学院遴选工作小组讨论决定。</w:t>
      </w:r>
    </w:p>
    <w:p w14:paraId="50349766">
      <w:pPr>
        <w:widowControl/>
        <w:spacing w:line="560" w:lineRule="exact"/>
        <w:ind w:firstLine="600" w:firstLineChars="200"/>
        <w:rPr>
          <w:rFonts w:ascii="仿宋" w:hAnsi="仿宋" w:eastAsia="仿宋" w:cs="宋体"/>
          <w:color w:val="333333"/>
          <w:kern w:val="0"/>
          <w:sz w:val="30"/>
          <w:szCs w:val="30"/>
        </w:rPr>
      </w:pPr>
    </w:p>
    <w:p w14:paraId="72B0E068">
      <w:pPr>
        <w:widowControl/>
        <w:spacing w:line="560" w:lineRule="exact"/>
        <w:ind w:firstLine="600" w:firstLineChars="200"/>
        <w:rPr>
          <w:rFonts w:ascii="仿宋" w:hAnsi="仿宋" w:eastAsia="仿宋" w:cs="宋体"/>
          <w:color w:val="333333"/>
          <w:kern w:val="0"/>
          <w:sz w:val="30"/>
          <w:szCs w:val="30"/>
        </w:rPr>
      </w:pPr>
    </w:p>
    <w:p w14:paraId="738586A4">
      <w:pPr>
        <w:widowControl/>
        <w:spacing w:line="560" w:lineRule="exact"/>
        <w:ind w:firstLine="600" w:firstLineChars="200"/>
        <w:rPr>
          <w:rFonts w:hint="eastAsia" w:ascii="仿宋" w:hAnsi="仿宋" w:eastAsia="仿宋" w:cs="宋体"/>
          <w:color w:val="333333"/>
          <w:kern w:val="0"/>
          <w:sz w:val="30"/>
          <w:szCs w:val="30"/>
        </w:rPr>
      </w:pPr>
    </w:p>
    <w:p w14:paraId="789B6C04">
      <w:pPr>
        <w:autoSpaceDE w:val="0"/>
        <w:autoSpaceDN w:val="0"/>
        <w:adjustRightInd w:val="0"/>
        <w:snapToGrid w:val="0"/>
        <w:spacing w:before="312" w:beforeLines="100" w:line="440" w:lineRule="exact"/>
        <w:ind w:firstLine="5120" w:firstLineChars="1600"/>
        <w:rPr>
          <w:rFonts w:ascii="仿宋_GB2312" w:eastAsia="仿宋_GB2312"/>
          <w:sz w:val="32"/>
          <w:szCs w:val="36"/>
        </w:rPr>
      </w:pPr>
      <w:r>
        <w:rPr>
          <w:rFonts w:hint="eastAsia" w:ascii="仿宋_GB2312" w:eastAsia="仿宋_GB2312"/>
          <w:sz w:val="32"/>
          <w:szCs w:val="36"/>
        </w:rPr>
        <w:t>信息与通信工程学院</w:t>
      </w:r>
    </w:p>
    <w:p w14:paraId="4E59FC10">
      <w:pPr>
        <w:autoSpaceDE w:val="0"/>
        <w:autoSpaceDN w:val="0"/>
        <w:adjustRightInd w:val="0"/>
        <w:snapToGrid w:val="0"/>
        <w:spacing w:before="312" w:beforeLines="100" w:line="440" w:lineRule="exact"/>
        <w:rPr>
          <w:rFonts w:ascii="仿宋_GB2312" w:eastAsia="仿宋_GB2312"/>
          <w:sz w:val="32"/>
          <w:szCs w:val="36"/>
        </w:rPr>
      </w:pPr>
      <w:r>
        <w:rPr>
          <w:rFonts w:hint="eastAsia" w:ascii="仿宋_GB2312" w:eastAsia="仿宋_GB2312"/>
          <w:sz w:val="32"/>
          <w:szCs w:val="36"/>
        </w:rPr>
        <w:t xml:space="preserve">                           </w:t>
      </w:r>
      <w:r>
        <w:rPr>
          <w:rFonts w:ascii="仿宋_GB2312" w:eastAsia="仿宋_GB2312"/>
          <w:sz w:val="32"/>
          <w:szCs w:val="36"/>
        </w:rPr>
        <w:t xml:space="preserve">   </w:t>
      </w:r>
      <w:r>
        <w:rPr>
          <w:rFonts w:hint="eastAsia" w:ascii="仿宋_GB2312" w:eastAsia="仿宋_GB2312"/>
          <w:sz w:val="32"/>
          <w:szCs w:val="36"/>
        </w:rPr>
        <w:t xml:space="preserve">  二〇二五年九月二日</w:t>
      </w:r>
    </w:p>
    <w:p w14:paraId="2E69FB3B">
      <w:pPr>
        <w:spacing w:before="312" w:beforeLines="100" w:line="500" w:lineRule="exact"/>
        <w:ind w:firstLine="420" w:firstLineChars="200"/>
      </w:pPr>
    </w:p>
    <w:sectPr>
      <w:footerReference r:id="rId3" w:type="default"/>
      <w:footerReference r:id="rId4" w:type="even"/>
      <w:pgSz w:w="11907" w:h="16840"/>
      <w:pgMar w:top="1361" w:right="1418" w:bottom="1361" w:left="1418" w:header="567" w:footer="130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AE5D7">
    <w:pPr>
      <w:pStyle w:val="8"/>
      <w:framePr w:wrap="around" w:vAnchor="text" w:hAnchor="margin" w:xAlign="center" w:y="1"/>
      <w:jc w:val="center"/>
      <w:rPr>
        <w:rStyle w:val="14"/>
      </w:rPr>
    </w:pPr>
    <w:r>
      <w:fldChar w:fldCharType="begin"/>
    </w:r>
    <w:r>
      <w:rPr>
        <w:rStyle w:val="14"/>
      </w:rPr>
      <w:instrText xml:space="preserve">PAGE  </w:instrText>
    </w:r>
    <w:r>
      <w:fldChar w:fldCharType="separate"/>
    </w:r>
    <w:r>
      <w:rPr>
        <w:rStyle w:val="14"/>
      </w:rPr>
      <w:t>3</w:t>
    </w:r>
    <w:r>
      <w:fldChar w:fldCharType="end"/>
    </w:r>
  </w:p>
  <w:p w14:paraId="68505B43">
    <w:pPr>
      <w:pStyle w:val="8"/>
      <w:framePr w:wrap="around" w:vAnchor="text" w:hAnchor="margin" w:xAlign="center" w:y="1"/>
      <w:rPr>
        <w:rStyle w:val="14"/>
      </w:rPr>
    </w:pPr>
  </w:p>
  <w:p w14:paraId="4C4E3042">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77E3D">
    <w:pPr>
      <w:pStyle w:val="8"/>
      <w:framePr w:wrap="around" w:vAnchor="text" w:hAnchor="margin" w:xAlign="center" w:y="1"/>
      <w:rPr>
        <w:rStyle w:val="14"/>
      </w:rPr>
    </w:pPr>
    <w:r>
      <w:fldChar w:fldCharType="begin"/>
    </w:r>
    <w:r>
      <w:rPr>
        <w:rStyle w:val="14"/>
      </w:rPr>
      <w:instrText xml:space="preserve">PAGE  </w:instrText>
    </w:r>
    <w:r>
      <w:fldChar w:fldCharType="end"/>
    </w:r>
  </w:p>
  <w:p w14:paraId="2E115E35">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A0B1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3">
    <w:name w:val="Default Paragraph Font"/>
    <w:uiPriority w:val="1"/>
  </w:style>
  <w:style w:type="table" w:default="1" w:styleId="11">
    <w:name w:val="Normal Table"/>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Indent"/>
    <w:basedOn w:val="1"/>
    <w:qFormat/>
    <w:uiPriority w:val="0"/>
    <w:pPr>
      <w:spacing w:line="460" w:lineRule="exact"/>
      <w:ind w:firstLine="640" w:firstLineChars="200"/>
    </w:pPr>
    <w:rPr>
      <w:rFonts w:ascii="仿宋_GB2312" w:eastAsia="仿宋_GB2312"/>
      <w:sz w:val="32"/>
      <w:szCs w:val="32"/>
    </w:rPr>
  </w:style>
  <w:style w:type="paragraph" w:styleId="6">
    <w:name w:val="Date"/>
    <w:basedOn w:val="1"/>
    <w:next w:val="1"/>
    <w:qFormat/>
    <w:uiPriority w:val="0"/>
    <w:pPr>
      <w:ind w:left="100" w:leftChars="25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annotation reference"/>
    <w:basedOn w:val="13"/>
    <w:qFormat/>
    <w:uiPriority w:val="0"/>
    <w:rPr>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8</Pages>
  <Words>3817</Words>
  <Characters>3884</Characters>
  <Paragraphs>257</Paragraphs>
  <TotalTime>8</TotalTime>
  <ScaleCrop>false</ScaleCrop>
  <LinksUpToDate>false</LinksUpToDate>
  <CharactersWithSpaces>3961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2025-09-02T06:30:00Z</dcterms:created>
  <dc:creator>丁瑜婷</dc:creator>
  <cp:lastModifiedBy>粒粒安</cp:lastModifiedBy>
  <cp:lastPrinted>2025-09-02T04:06:00Z</cp:lastPrinted>
  <dcterms:modified xsi:type="dcterms:W3CDTF">2025-09-05T02:37:34Z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63C5BA1946284083AD90CF6B8F8D9E07_13</vt:lpwstr>
  </property>
  <property fmtid="{D5CDD505-2E9C-101B-9397-08002B2CF9AE}" pid="4" name="KSOTemplateDocerSaveRecord">
    <vt:lpwstr>eyJoZGlkIjoiNWRjMTBkYTUzN2JkZGQ0OWUyMDdkOGQzMmFlODA2NDkiLCJ1c2VySWQiOiIxMDY3NzEyMTQwIn0=</vt:lpwstr>
  </property>
</Properties>
</file>